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706F7" w:rsidRDefault="00621451">
      <w:pPr>
        <w:pStyle w:val="a3"/>
        <w:spacing w:after="100"/>
        <w:rPr>
          <w:rFonts w:hint="cs"/>
          <w:rtl/>
        </w:rPr>
      </w:pPr>
      <w:bookmarkStart w:id="0" w:name="_GoBack"/>
      <w:bookmarkEnd w:id="0"/>
      <w:r>
        <w:t xml:space="preserve"> </w:t>
      </w:r>
      <w:r w:rsidR="00F706F7">
        <w:rPr>
          <w:rFonts w:hint="cs"/>
          <w:rtl/>
        </w:rPr>
        <w:t>ערעור פלילי</w:t>
      </w:r>
      <w:r w:rsidR="00F706F7">
        <w:rPr>
          <w:rtl/>
        </w:rPr>
        <w:t xml:space="preserve">  </w:t>
      </w:r>
      <w:r w:rsidR="00F706F7">
        <w:rPr>
          <w:rFonts w:hint="cs"/>
          <w:rtl/>
        </w:rPr>
        <w:t>03</w:t>
      </w:r>
      <w:r w:rsidR="00F706F7">
        <w:rPr>
          <w:rtl/>
        </w:rPr>
        <w:t xml:space="preserve"> / </w:t>
      </w:r>
      <w:r w:rsidR="00F706F7">
        <w:rPr>
          <w:rFonts w:hint="cs"/>
          <w:rtl/>
        </w:rPr>
        <w:t>1042</w:t>
      </w:r>
    </w:p>
    <w:p w:rsidR="00F706F7" w:rsidRDefault="00F706F7">
      <w:pPr>
        <w:pStyle w:val="a3"/>
        <w:rPr>
          <w:rFonts w:hint="cs"/>
          <w:rtl/>
        </w:rPr>
      </w:pPr>
      <w:r>
        <w:rPr>
          <w:rFonts w:hint="cs"/>
          <w:rtl/>
        </w:rPr>
        <w:t>ערעור פלילי</w:t>
      </w:r>
      <w:r>
        <w:rPr>
          <w:rtl/>
        </w:rPr>
        <w:t xml:space="preserve">  </w:t>
      </w:r>
      <w:r>
        <w:rPr>
          <w:rFonts w:hint="cs"/>
          <w:rtl/>
        </w:rPr>
        <w:t>03</w:t>
      </w:r>
      <w:r>
        <w:rPr>
          <w:rtl/>
        </w:rPr>
        <w:t xml:space="preserve"> / </w:t>
      </w:r>
      <w:r>
        <w:rPr>
          <w:rFonts w:hint="cs"/>
          <w:rtl/>
        </w:rPr>
        <w:t>1058</w:t>
      </w:r>
    </w:p>
    <w:p w:rsidR="00F706F7" w:rsidRDefault="00F706F7">
      <w:pPr>
        <w:pStyle w:val="-1"/>
        <w:rPr>
          <w:rFonts w:hint="cs"/>
          <w:rtl/>
        </w:rPr>
      </w:pPr>
      <w:r>
        <w:rPr>
          <w:rFonts w:hint="cs"/>
          <w:rtl/>
        </w:rPr>
        <w:t>1. מצרפלס שותפות מוגבלת בע"מ (1974)</w:t>
      </w:r>
    </w:p>
    <w:p w:rsidR="00F706F7" w:rsidRDefault="00F706F7">
      <w:pPr>
        <w:pStyle w:val="-1"/>
        <w:rPr>
          <w:rtl/>
        </w:rPr>
      </w:pPr>
      <w:r>
        <w:rPr>
          <w:rFonts w:hint="cs"/>
          <w:rtl/>
        </w:rPr>
        <w:t>2. דב אביטל</w:t>
      </w:r>
      <w:r>
        <w:rPr>
          <w:rFonts w:hint="cs"/>
          <w:rtl/>
        </w:rPr>
        <w:tab/>
      </w:r>
      <w:r>
        <w:rPr>
          <w:rFonts w:hint="cs"/>
          <w:rtl/>
        </w:rPr>
        <w:tab/>
      </w:r>
      <w:r>
        <w:rPr>
          <w:rFonts w:hint="cs"/>
          <w:rtl/>
        </w:rPr>
        <w:tab/>
      </w:r>
      <w:r>
        <w:rPr>
          <w:rFonts w:hint="cs"/>
          <w:rtl/>
        </w:rPr>
        <w:tab/>
      </w:r>
      <w:r>
        <w:rPr>
          <w:rFonts w:hint="cs"/>
          <w:rtl/>
        </w:rPr>
        <w:tab/>
      </w:r>
      <w:hyperlink r:id="rId6" w:history="1">
        <w:r w:rsidR="00FC41C2" w:rsidRPr="00FC41C2">
          <w:rPr>
            <w:color w:val="0000FF"/>
            <w:u w:val="single"/>
            <w:rtl/>
          </w:rPr>
          <w:t>ע"פ 1042/03</w:t>
        </w:r>
        <w:r w:rsidR="00FC41C2" w:rsidRPr="00FC41C2">
          <w:rPr>
            <w:color w:val="0000FF"/>
            <w:u w:val="single"/>
            <w:rtl/>
          </w:rPr>
          <w:cr/>
        </w:r>
      </w:hyperlink>
      <w:r>
        <w:rPr>
          <w:rFonts w:hint="cs"/>
          <w:rtl/>
        </w:rPr>
        <w:t>יעקב בן יצחק הרץ</w:t>
      </w:r>
      <w:r>
        <w:rPr>
          <w:rFonts w:hint="cs"/>
          <w:rtl/>
        </w:rPr>
        <w:tab/>
      </w:r>
      <w:r>
        <w:rPr>
          <w:rFonts w:hint="cs"/>
          <w:rtl/>
        </w:rPr>
        <w:tab/>
      </w:r>
      <w:r>
        <w:rPr>
          <w:rFonts w:hint="cs"/>
          <w:rtl/>
        </w:rPr>
        <w:tab/>
      </w:r>
      <w:r>
        <w:rPr>
          <w:rFonts w:hint="cs"/>
          <w:rtl/>
        </w:rPr>
        <w:tab/>
      </w:r>
      <w:hyperlink r:id="rId7" w:history="1">
        <w:r w:rsidR="00FC41C2" w:rsidRPr="00FC41C2">
          <w:rPr>
            <w:color w:val="0000FF"/>
            <w:u w:val="single"/>
            <w:rtl/>
          </w:rPr>
          <w:t>ע"פ 1058/03</w:t>
        </w:r>
        <w:r w:rsidR="00FC41C2" w:rsidRPr="00FC41C2">
          <w:rPr>
            <w:color w:val="0000FF"/>
            <w:u w:val="single"/>
            <w:rtl/>
          </w:rPr>
          <w:cr/>
        </w:r>
      </w:hyperlink>
      <w:r>
        <w:rPr>
          <w:rtl/>
        </w:rPr>
        <w:t>נגד</w:t>
      </w:r>
    </w:p>
    <w:p w:rsidR="00F706F7" w:rsidRDefault="00F706F7">
      <w:pPr>
        <w:pStyle w:val="-1"/>
        <w:spacing w:after="0"/>
        <w:rPr>
          <w:rFonts w:hint="cs"/>
          <w:rtl/>
        </w:rPr>
      </w:pPr>
      <w:bookmarkStart w:id="1" w:name="RESPONDERS"/>
      <w:r>
        <w:rPr>
          <w:rFonts w:hint="cs"/>
          <w:rtl/>
        </w:rPr>
        <w:t>מדינת ישראל</w:t>
      </w:r>
    </w:p>
    <w:bookmarkEnd w:id="1"/>
    <w:p w:rsidR="00F706F7" w:rsidRDefault="00F706F7">
      <w:pPr>
        <w:pStyle w:val="-10"/>
        <w:spacing w:before="360"/>
        <w:rPr>
          <w:rFonts w:hint="cs"/>
          <w:rtl/>
        </w:rPr>
      </w:pPr>
      <w:r>
        <w:rPr>
          <w:rtl/>
        </w:rPr>
        <w:t>בבית</w:t>
      </w:r>
      <w:r>
        <w:rPr>
          <w:rFonts w:hint="cs"/>
          <w:position w:val="4"/>
          <w:rtl/>
        </w:rPr>
        <w:t>-</w:t>
      </w:r>
      <w:r>
        <w:rPr>
          <w:rtl/>
        </w:rPr>
        <w:t xml:space="preserve">המשפט העליון </w:t>
      </w:r>
      <w:r>
        <w:rPr>
          <w:rFonts w:hint="cs"/>
          <w:rtl/>
        </w:rPr>
        <w:t>בשבתו כבית</w:t>
      </w:r>
      <w:r>
        <w:rPr>
          <w:rFonts w:hint="cs"/>
          <w:position w:val="4"/>
          <w:rtl/>
        </w:rPr>
        <w:t>-</w:t>
      </w:r>
      <w:r>
        <w:rPr>
          <w:rFonts w:hint="cs"/>
          <w:rtl/>
        </w:rPr>
        <w:t>משפט לערעורים פליליים</w:t>
      </w:r>
    </w:p>
    <w:p w:rsidR="00F706F7" w:rsidRDefault="00F706F7">
      <w:pPr>
        <w:pStyle w:val="-10"/>
        <w:rPr>
          <w:rtl/>
        </w:rPr>
      </w:pPr>
      <w:r>
        <w:rPr>
          <w:rtl/>
        </w:rPr>
        <w:t>[</w:t>
      </w:r>
      <w:r>
        <w:rPr>
          <w:rFonts w:hint="cs"/>
          <w:rtl/>
        </w:rPr>
        <w:t>10.11.2003</w:t>
      </w:r>
      <w:r>
        <w:rPr>
          <w:rtl/>
        </w:rPr>
        <w:t>]</w:t>
      </w:r>
    </w:p>
    <w:p w:rsidR="00F706F7" w:rsidRDefault="00F706F7">
      <w:pPr>
        <w:pStyle w:val="-10"/>
        <w:spacing w:after="360"/>
        <w:rPr>
          <w:rFonts w:hint="cs"/>
          <w:rtl/>
        </w:rPr>
      </w:pPr>
      <w:r>
        <w:rPr>
          <w:rtl/>
        </w:rPr>
        <w:t xml:space="preserve">לפני </w:t>
      </w:r>
      <w:r>
        <w:rPr>
          <w:rFonts w:hint="cs"/>
          <w:rtl/>
        </w:rPr>
        <w:t>ה</w:t>
      </w:r>
      <w:r>
        <w:rPr>
          <w:rtl/>
        </w:rPr>
        <w:t>שופטים</w:t>
      </w:r>
      <w:r>
        <w:rPr>
          <w:spacing w:val="20"/>
          <w:rtl/>
        </w:rPr>
        <w:t xml:space="preserve"> </w:t>
      </w:r>
      <w:r>
        <w:rPr>
          <w:rFonts w:hint="cs"/>
          <w:spacing w:val="20"/>
          <w:rtl/>
        </w:rPr>
        <w:t>מ</w:t>
      </w:r>
      <w:r>
        <w:rPr>
          <w:spacing w:val="20"/>
          <w:rtl/>
        </w:rPr>
        <w:t xml:space="preserve">' </w:t>
      </w:r>
      <w:r>
        <w:rPr>
          <w:rFonts w:hint="cs"/>
          <w:spacing w:val="20"/>
          <w:rtl/>
        </w:rPr>
        <w:t>חשין</w:t>
      </w:r>
      <w:r>
        <w:rPr>
          <w:spacing w:val="20"/>
          <w:rtl/>
        </w:rPr>
        <w:t xml:space="preserve">, </w:t>
      </w:r>
      <w:r>
        <w:rPr>
          <w:rFonts w:hint="cs"/>
          <w:spacing w:val="20"/>
          <w:rtl/>
        </w:rPr>
        <w:t>א</w:t>
      </w:r>
      <w:r>
        <w:rPr>
          <w:spacing w:val="20"/>
          <w:rtl/>
        </w:rPr>
        <w:t xml:space="preserve">' </w:t>
      </w:r>
      <w:r>
        <w:rPr>
          <w:rFonts w:hint="cs"/>
          <w:spacing w:val="20"/>
          <w:rtl/>
        </w:rPr>
        <w:t>פרוקצ'יה, מ' נאור</w:t>
      </w:r>
    </w:p>
    <w:p w:rsidR="00F706F7" w:rsidRDefault="00F706F7">
      <w:pPr>
        <w:pStyle w:val="a0"/>
        <w:ind w:firstLine="0"/>
        <w:rPr>
          <w:rFonts w:hint="cs"/>
          <w:rtl/>
        </w:rPr>
      </w:pPr>
      <w:bookmarkStart w:id="2" w:name="DOCUMENT_TITLE"/>
      <w:r>
        <w:rPr>
          <w:rFonts w:hint="cs"/>
          <w:rtl/>
        </w:rPr>
        <w:t xml:space="preserve">המערערים הורשעו בעבירות של הסדרים כובלים, ונגזרו עליהם עונשים של עבודות שירות וכן קנסות. המערערים טענו בערעוריהם, בין השאר, כי אין להרשיע בעבירה של הסדר כובל לפי </w:t>
      </w:r>
      <w:hyperlink r:id="rId8" w:history="1">
        <w:r w:rsidR="00FC41C2" w:rsidRPr="00FC41C2">
          <w:rPr>
            <w:rStyle w:val="Hyperlink"/>
            <w:rFonts w:hint="eastAsia"/>
            <w:rtl/>
          </w:rPr>
          <w:t>חוק</w:t>
        </w:r>
        <w:r w:rsidR="00FC41C2" w:rsidRPr="00FC41C2">
          <w:rPr>
            <w:rStyle w:val="Hyperlink"/>
            <w:rtl/>
          </w:rPr>
          <w:t xml:space="preserve"> ההגבלים העסקיים</w:t>
        </w:r>
      </w:hyperlink>
      <w:r>
        <w:rPr>
          <w:rFonts w:hint="cs"/>
          <w:rtl/>
        </w:rPr>
        <w:t>, תשמ"ח-1988 (להלן – החוק) כאשר מדובר במעשים שאינם עולים לכדי הצעה וקיבול המשכללים "הסדר" חוזי לפי החוק, וניתן לכל היותר להרשיע בעבירה של ניסיון לעשיית הסדר כובל. עוד נטען כנגד אי</w:t>
      </w:r>
      <w:r>
        <w:rPr>
          <w:rFonts w:hint="cs"/>
          <w:position w:val="3"/>
          <w:sz w:val="24"/>
          <w:rtl/>
        </w:rPr>
        <w:t>-</w:t>
      </w:r>
      <w:r>
        <w:rPr>
          <w:rFonts w:hint="cs"/>
          <w:rtl/>
        </w:rPr>
        <w:t>ביטול הרשעתו של אחד המערערים וכנגד חומרת הענישה שנקט בית</w:t>
      </w:r>
      <w:r>
        <w:rPr>
          <w:rFonts w:hint="cs"/>
          <w:position w:val="3"/>
          <w:sz w:val="24"/>
          <w:rtl/>
        </w:rPr>
        <w:t>-</w:t>
      </w:r>
      <w:r>
        <w:rPr>
          <w:rFonts w:hint="cs"/>
          <w:rtl/>
        </w:rPr>
        <w:t>המשפט המחוזי.</w:t>
      </w:r>
      <w:r>
        <w:rPr>
          <w:color w:val="FFFFFF"/>
          <w:sz w:val="4"/>
          <w:szCs w:val="4"/>
          <w:rtl/>
        </w:rPr>
        <w:t>נ</w:t>
      </w:r>
    </w:p>
    <w:p w:rsidR="00F706F7" w:rsidRDefault="00F706F7">
      <w:pPr>
        <w:pStyle w:val="1"/>
        <w:spacing w:before="240" w:line="240" w:lineRule="exact"/>
        <w:rPr>
          <w:rtl/>
        </w:rPr>
      </w:pPr>
      <w:r>
        <w:rPr>
          <w:rtl/>
        </w:rPr>
        <w:t>בית</w:t>
      </w:r>
      <w:r>
        <w:rPr>
          <w:rFonts w:hint="cs"/>
          <w:position w:val="3"/>
          <w:sz w:val="24"/>
          <w:rtl/>
        </w:rPr>
        <w:t>-</w:t>
      </w:r>
      <w:r>
        <w:rPr>
          <w:rtl/>
        </w:rPr>
        <w:t>המשפט העליון פסק:</w:t>
      </w:r>
    </w:p>
    <w:p w:rsidR="00F706F7" w:rsidRDefault="00F706F7">
      <w:pPr>
        <w:pStyle w:val="1"/>
        <w:rPr>
          <w:rFonts w:hint="cs"/>
          <w:rtl/>
        </w:rPr>
      </w:pPr>
      <w:r>
        <w:rPr>
          <w:rFonts w:hint="cs"/>
          <w:rtl/>
        </w:rPr>
        <w:t>א.</w:t>
      </w:r>
      <w:r>
        <w:rPr>
          <w:rFonts w:hint="cs"/>
          <w:rtl/>
        </w:rPr>
        <w:tab/>
        <w:t>(1)</w:t>
      </w:r>
      <w:r>
        <w:rPr>
          <w:rFonts w:hint="cs"/>
          <w:rtl/>
        </w:rPr>
        <w:tab/>
        <w:t>יש לתת למילה "הסדר" שבסעיף 2 לחוק את הפירוש המרחיב ביותר. החוק נועד למנוע מצבים שבהם יפעלו אנשים תוך הבנה משותפת במטרה ליצור הסדר כובל במשמעותו בחוק. ברור כי המחוקק לא רצה להגביל עצמו בשום דרך בניסיונו ללכוד את כל האפשרויות שבהן יגיעו בני</w:t>
      </w:r>
      <w:r>
        <w:rPr>
          <w:rFonts w:hint="cs"/>
          <w:position w:val="3"/>
          <w:sz w:val="24"/>
          <w:rtl/>
        </w:rPr>
        <w:t>-</w:t>
      </w:r>
      <w:r>
        <w:rPr>
          <w:rFonts w:hint="cs"/>
          <w:rtl/>
        </w:rPr>
        <w:t>אדם לכלל הבנה כזו, ולכן השתמש במילה "הסדר" ולא "הסכם" או "חוזה" תוך שציין כי אין חשיבות לשאלה אם מדובר בהבנה מפורשת או מכללא (728ה – ו).</w:t>
      </w:r>
      <w:r>
        <w:rPr>
          <w:color w:val="FFFFFF"/>
          <w:sz w:val="4"/>
          <w:szCs w:val="4"/>
          <w:rtl/>
        </w:rPr>
        <w:t>ב</w:t>
      </w:r>
    </w:p>
    <w:p w:rsidR="00F82D59" w:rsidRDefault="00F706F7">
      <w:pPr>
        <w:pStyle w:val="1"/>
        <w:rPr>
          <w:rtl/>
        </w:rPr>
      </w:pPr>
      <w:r>
        <w:rPr>
          <w:rFonts w:hint="cs"/>
          <w:rtl/>
        </w:rPr>
        <w:tab/>
        <w:t>(2)</w:t>
      </w:r>
      <w:r>
        <w:rPr>
          <w:rFonts w:hint="cs"/>
          <w:rtl/>
        </w:rPr>
        <w:tab/>
        <w:t>לאור זאת הפירוש היחיד המשיג את מטרת החוק בתחום זה צריך לקבוע שהמילה "הסדר" כוללת כל דרך מתואמת המופעלת על</w:t>
      </w:r>
      <w:r>
        <w:rPr>
          <w:rFonts w:hint="cs"/>
          <w:position w:val="3"/>
          <w:sz w:val="24"/>
          <w:rtl/>
        </w:rPr>
        <w:t>-</w:t>
      </w:r>
      <w:r>
        <w:rPr>
          <w:rFonts w:hint="cs"/>
          <w:rtl/>
        </w:rPr>
        <w:t>ידי בני</w:t>
      </w:r>
      <w:r>
        <w:rPr>
          <w:rFonts w:hint="cs"/>
          <w:position w:val="3"/>
          <w:sz w:val="24"/>
          <w:rtl/>
        </w:rPr>
        <w:t>-</w:t>
      </w:r>
      <w:r>
        <w:rPr>
          <w:rFonts w:hint="cs"/>
          <w:rtl/>
        </w:rPr>
        <w:t>אדם המנהלים עסקים, ושמגמתה השלטת הסדר כובל. אין זה מעניינו של החוק אם תיאום זה הושג בדרכי קונספירציה או בדרכי הסדר או באמצעות צד שלישי או על</w:t>
      </w:r>
      <w:r>
        <w:rPr>
          <w:rFonts w:hint="cs"/>
          <w:position w:val="3"/>
          <w:sz w:val="24"/>
          <w:rtl/>
        </w:rPr>
        <w:t>-</w:t>
      </w:r>
      <w:r>
        <w:rPr>
          <w:rFonts w:hint="cs"/>
          <w:rtl/>
        </w:rPr>
        <w:t>ידי קריצת עין או על</w:t>
      </w:r>
      <w:r>
        <w:rPr>
          <w:rFonts w:hint="cs"/>
          <w:position w:val="3"/>
          <w:sz w:val="24"/>
          <w:rtl/>
        </w:rPr>
        <w:t>-</w:t>
      </w:r>
      <w:r>
        <w:rPr>
          <w:rFonts w:hint="cs"/>
          <w:rtl/>
        </w:rPr>
        <w:t>ידי צחוק של הבנה או על</w:t>
      </w:r>
      <w:r>
        <w:rPr>
          <w:rFonts w:hint="cs"/>
          <w:position w:val="3"/>
          <w:sz w:val="24"/>
          <w:rtl/>
        </w:rPr>
        <w:t>-</w:t>
      </w:r>
      <w:r>
        <w:rPr>
          <w:rFonts w:hint="cs"/>
          <w:rtl/>
        </w:rPr>
        <w:t>ידי מתאם שהוא זר להסדר, או על</w:t>
      </w:r>
      <w:r>
        <w:rPr>
          <w:rFonts w:hint="cs"/>
          <w:position w:val="3"/>
          <w:sz w:val="24"/>
          <w:rtl/>
        </w:rPr>
        <w:t>-</w:t>
      </w:r>
      <w:r>
        <w:rPr>
          <w:rFonts w:hint="cs"/>
          <w:rtl/>
        </w:rPr>
        <w:t>ידי דברים שנאמרו למאן דהוא שאינו שייך לעניין כדי שהדברים יישמעו על</w:t>
      </w:r>
      <w:r>
        <w:rPr>
          <w:rFonts w:hint="cs"/>
          <w:position w:val="3"/>
          <w:sz w:val="24"/>
          <w:rtl/>
        </w:rPr>
        <w:t>-</w:t>
      </w:r>
      <w:r>
        <w:rPr>
          <w:rFonts w:hint="cs"/>
          <w:rtl/>
        </w:rPr>
        <w:t xml:space="preserve">ידי מישהו השייך לעניין או בכל </w:t>
      </w:r>
    </w:p>
    <w:p w:rsidR="00F706F7" w:rsidRDefault="00F82D59" w:rsidP="00F82D59">
      <w:pPr>
        <w:pStyle w:val="1"/>
        <w:ind w:firstLine="0"/>
        <w:rPr>
          <w:rFonts w:hint="cs"/>
          <w:rtl/>
        </w:rPr>
      </w:pPr>
      <w:r>
        <w:rPr>
          <w:rtl/>
        </w:rPr>
        <w:br w:type="page"/>
      </w:r>
      <w:r w:rsidR="00F706F7">
        <w:rPr>
          <w:rFonts w:hint="cs"/>
          <w:rtl/>
        </w:rPr>
        <w:t xml:space="preserve">דרך אחרת. המילה "הסדר" רחבה מספיק כדי ללכוד בתוכה את כל מגוון האפשרויות הללו, כמו גם כל אפשרות אחרת וכל חידוש או המצאה שיחודשו או יומצאו בעתיד ושיביאו לכלל תיאום בין הצדדים שעליהם מדבר החוק (728ו – 729א). </w:t>
      </w:r>
    </w:p>
    <w:p w:rsidR="00F706F7" w:rsidRDefault="00F706F7">
      <w:pPr>
        <w:pStyle w:val="1"/>
        <w:rPr>
          <w:rFonts w:hint="cs"/>
          <w:rtl/>
        </w:rPr>
      </w:pPr>
      <w:r>
        <w:rPr>
          <w:rFonts w:hint="cs"/>
          <w:rtl/>
        </w:rPr>
        <w:tab/>
        <w:t>(3)</w:t>
      </w:r>
      <w:r>
        <w:rPr>
          <w:rFonts w:hint="cs"/>
          <w:rtl/>
        </w:rPr>
        <w:tab/>
        <w:t>הסדר כובל אינו צריך להיעשות דווקא בכתב, ואין להחיל על עשייתו את דיני החוזים. לעתים מזומנות ביצועו של הסדר הוא ראיה כבדת משקל לעצם עשייתו. אמנם, הסדר כובל הינו בטל מבחינה זו שהוא איננו מהווה הסכם בעל תוקף חוזי, אולם מכך אין להסיק שלא ניתן להעמיד לדין מי שהיה צד להסדר כובל ולהרשיעו, שכן בכך יתרוקנו כל ההוראות הפליליות שבחוק מתוכנן. בטלות ההסדר היא לגבי תוצאותיו האזרחיות ולא לגבי הפליליות שבעשייתו (728ד, 729ג).</w:t>
      </w:r>
      <w:r>
        <w:rPr>
          <w:color w:val="FFFFFF"/>
          <w:sz w:val="4"/>
          <w:szCs w:val="4"/>
          <w:rtl/>
        </w:rPr>
        <w:t>ו</w:t>
      </w:r>
    </w:p>
    <w:p w:rsidR="00F706F7" w:rsidRDefault="00F706F7">
      <w:pPr>
        <w:pStyle w:val="1"/>
        <w:rPr>
          <w:rFonts w:hint="cs"/>
          <w:rtl/>
        </w:rPr>
      </w:pPr>
      <w:r>
        <w:rPr>
          <w:rFonts w:hint="cs"/>
          <w:rtl/>
        </w:rPr>
        <w:t>ב.</w:t>
      </w:r>
      <w:r>
        <w:rPr>
          <w:rFonts w:hint="cs"/>
          <w:rtl/>
        </w:rPr>
        <w:tab/>
        <w:t>(1)</w:t>
      </w:r>
      <w:r>
        <w:rPr>
          <w:rFonts w:hint="cs"/>
          <w:rtl/>
        </w:rPr>
        <w:tab/>
        <w:t xml:space="preserve">כעיקרון, העונש הראוי לעבירות של עשיית הסדר כובל לפי החוק, ככל עבירה כלכלית, הוא עונש של מאסר בפועל, שלא בדרך של עבודות שירות. </w:t>
      </w:r>
      <w:r>
        <w:rPr>
          <w:rtl/>
        </w:rPr>
        <w:t>מבצעיהן של עבירות כאלה</w:t>
      </w:r>
      <w:r>
        <w:rPr>
          <w:rFonts w:hint="cs"/>
          <w:rtl/>
        </w:rPr>
        <w:t xml:space="preserve">, </w:t>
      </w:r>
      <w:r>
        <w:rPr>
          <w:rtl/>
        </w:rPr>
        <w:t>אנשים שומרי</w:t>
      </w:r>
      <w:r>
        <w:rPr>
          <w:rFonts w:hint="cs"/>
          <w:rtl/>
        </w:rPr>
        <w:t xml:space="preserve"> </w:t>
      </w:r>
      <w:r>
        <w:rPr>
          <w:rtl/>
        </w:rPr>
        <w:t>חוק בדרך</w:t>
      </w:r>
      <w:r>
        <w:rPr>
          <w:rFonts w:hint="cs"/>
          <w:position w:val="3"/>
          <w:sz w:val="24"/>
          <w:rtl/>
        </w:rPr>
        <w:t>-</w:t>
      </w:r>
      <w:r>
        <w:rPr>
          <w:rtl/>
        </w:rPr>
        <w:t>כלל, המוכרים בקהילותיהם כאנשים נשואי</w:t>
      </w:r>
      <w:r>
        <w:rPr>
          <w:rFonts w:hint="cs"/>
          <w:rtl/>
        </w:rPr>
        <w:t xml:space="preserve"> </w:t>
      </w:r>
      <w:r>
        <w:rPr>
          <w:rtl/>
        </w:rPr>
        <w:t>פנים</w:t>
      </w:r>
      <w:r>
        <w:rPr>
          <w:rFonts w:hint="cs"/>
          <w:rtl/>
        </w:rPr>
        <w:t xml:space="preserve">, </w:t>
      </w:r>
      <w:r>
        <w:rPr>
          <w:rtl/>
        </w:rPr>
        <w:t>אינם פועלים מתוך מצוקה כלכלית או סוציאלית</w:t>
      </w:r>
      <w:r>
        <w:rPr>
          <w:rFonts w:hint="cs"/>
          <w:rtl/>
        </w:rPr>
        <w:t>,</w:t>
      </w:r>
      <w:r>
        <w:rPr>
          <w:rtl/>
        </w:rPr>
        <w:t xml:space="preserve"> וכל מטרתם היא הפקת רווחים קלים על</w:t>
      </w:r>
      <w:r>
        <w:rPr>
          <w:rFonts w:hint="cs"/>
          <w:rtl/>
        </w:rPr>
        <w:t xml:space="preserve"> </w:t>
      </w:r>
      <w:r>
        <w:rPr>
          <w:rtl/>
        </w:rPr>
        <w:t>חשבון הציבור. לעונש של מאסר בפועל אפקט מרתיע במיוחד כלפי מגזר עברייני זה</w:t>
      </w:r>
      <w:r>
        <w:rPr>
          <w:rFonts w:hint="cs"/>
          <w:rtl/>
        </w:rPr>
        <w:t xml:space="preserve"> (732ה – ו, ז – 733א)</w:t>
      </w:r>
      <w:r>
        <w:rPr>
          <w:rtl/>
        </w:rPr>
        <w:t xml:space="preserve">. </w:t>
      </w:r>
    </w:p>
    <w:p w:rsidR="00F706F7" w:rsidRDefault="00F706F7">
      <w:pPr>
        <w:pStyle w:val="1"/>
        <w:rPr>
          <w:rFonts w:hint="cs"/>
          <w:rtl/>
        </w:rPr>
      </w:pPr>
      <w:r>
        <w:rPr>
          <w:rFonts w:hint="cs"/>
          <w:rtl/>
        </w:rPr>
        <w:tab/>
        <w:t>(2)</w:t>
      </w:r>
      <w:r>
        <w:rPr>
          <w:rFonts w:hint="cs"/>
          <w:rtl/>
        </w:rPr>
        <w:tab/>
        <w:t>בנסיבות העניין אמנם נעברו העבירות בשלהי תקופת אי</w:t>
      </w:r>
      <w:r>
        <w:rPr>
          <w:rFonts w:hint="cs"/>
          <w:position w:val="3"/>
          <w:sz w:val="24"/>
          <w:rtl/>
        </w:rPr>
        <w:t>-</w:t>
      </w:r>
      <w:r>
        <w:rPr>
          <w:rFonts w:hint="cs"/>
          <w:rtl/>
        </w:rPr>
        <w:t xml:space="preserve">האכיפה האפקטיבית בעבירות של עשיית הסדרים כובלים, כאשר </w:t>
      </w:r>
      <w:r>
        <w:rPr>
          <w:rtl/>
        </w:rPr>
        <w:t>לא הופעלה על</w:t>
      </w:r>
      <w:r>
        <w:rPr>
          <w:rFonts w:hint="cs"/>
          <w:position w:val="3"/>
          <w:sz w:val="24"/>
          <w:rtl/>
        </w:rPr>
        <w:t>-</w:t>
      </w:r>
      <w:r>
        <w:rPr>
          <w:rtl/>
        </w:rPr>
        <w:t xml:space="preserve">ידי הרשויות מדיניות אכיפה ממשית בתחום </w:t>
      </w:r>
      <w:r>
        <w:rPr>
          <w:rFonts w:hint="cs"/>
          <w:rtl/>
        </w:rPr>
        <w:t>ז</w:t>
      </w:r>
      <w:r>
        <w:rPr>
          <w:rtl/>
        </w:rPr>
        <w:t>ה</w:t>
      </w:r>
      <w:r>
        <w:rPr>
          <w:rFonts w:hint="cs"/>
          <w:rtl/>
        </w:rPr>
        <w:t xml:space="preserve">, </w:t>
      </w:r>
      <w:r>
        <w:rPr>
          <w:rtl/>
        </w:rPr>
        <w:t>והרשויות</w:t>
      </w:r>
      <w:r>
        <w:rPr>
          <w:rFonts w:hint="cs"/>
          <w:rtl/>
        </w:rPr>
        <w:t xml:space="preserve"> </w:t>
      </w:r>
      <w:r>
        <w:rPr>
          <w:rtl/>
        </w:rPr>
        <w:t xml:space="preserve">נטו במקרים רבים להקל עם עברייני </w:t>
      </w:r>
      <w:r>
        <w:rPr>
          <w:rFonts w:hint="cs"/>
          <w:rtl/>
        </w:rPr>
        <w:t>ה</w:t>
      </w:r>
      <w:r>
        <w:rPr>
          <w:rtl/>
        </w:rPr>
        <w:t>חוק ולא למצות עמם את הדין</w:t>
      </w:r>
      <w:r>
        <w:rPr>
          <w:rFonts w:hint="cs"/>
          <w:rtl/>
        </w:rPr>
        <w:t>, אולם הוכח בבית</w:t>
      </w:r>
      <w:r>
        <w:rPr>
          <w:rFonts w:hint="cs"/>
          <w:position w:val="3"/>
          <w:sz w:val="24"/>
          <w:rtl/>
        </w:rPr>
        <w:t>-</w:t>
      </w:r>
      <w:r>
        <w:rPr>
          <w:rFonts w:hint="cs"/>
          <w:rtl/>
        </w:rPr>
        <w:t>המשפט המחוזי כי המערערים היו מודעים לנושא ההגבלים העסקיים ולבעייתיות שבהתנהגותם, ובית</w:t>
      </w:r>
      <w:r>
        <w:rPr>
          <w:rFonts w:hint="cs"/>
          <w:position w:val="3"/>
          <w:sz w:val="24"/>
          <w:rtl/>
        </w:rPr>
        <w:t>-</w:t>
      </w:r>
      <w:r>
        <w:rPr>
          <w:rFonts w:hint="cs"/>
          <w:rtl/>
        </w:rPr>
        <w:t>המשפט אף ציין כשיקול לקולה את העובדה שהעבירות בוצעו בדמדומי תקופת תת</w:t>
      </w:r>
      <w:r>
        <w:rPr>
          <w:rFonts w:hint="cs"/>
          <w:position w:val="3"/>
          <w:sz w:val="24"/>
          <w:rtl/>
        </w:rPr>
        <w:t>-</w:t>
      </w:r>
      <w:r>
        <w:rPr>
          <w:rFonts w:hint="cs"/>
          <w:rtl/>
        </w:rPr>
        <w:t>האכיפה בתחום זה. על</w:t>
      </w:r>
      <w:r>
        <w:rPr>
          <w:rFonts w:hint="cs"/>
          <w:position w:val="3"/>
          <w:sz w:val="24"/>
          <w:rtl/>
        </w:rPr>
        <w:t>-</w:t>
      </w:r>
      <w:r>
        <w:rPr>
          <w:rFonts w:hint="cs"/>
          <w:rtl/>
        </w:rPr>
        <w:t>כן בדין הוטלו על המערערים עונשי מאסר בדרך של עבודות שירות (731ז, 732ד – ה, 733א – ב).</w:t>
      </w:r>
      <w:r>
        <w:rPr>
          <w:color w:val="FFFFFF"/>
          <w:sz w:val="4"/>
          <w:szCs w:val="4"/>
          <w:rtl/>
        </w:rPr>
        <w:t>נ</w:t>
      </w:r>
    </w:p>
    <w:p w:rsidR="00F706F7" w:rsidRDefault="00F706F7">
      <w:pPr>
        <w:pStyle w:val="a1"/>
        <w:spacing w:before="240" w:line="260" w:lineRule="exact"/>
        <w:rPr>
          <w:rtl/>
        </w:rPr>
        <w:sectPr w:rsidR="00F706F7" w:rsidSect="00F82D59">
          <w:headerReference w:type="even" r:id="rId9"/>
          <w:headerReference w:type="default" r:id="rId10"/>
          <w:footerReference w:type="even" r:id="rId11"/>
          <w:footerReference w:type="default" r:id="rId12"/>
          <w:headerReference w:type="first" r:id="rId13"/>
          <w:footerReference w:type="first" r:id="rId14"/>
          <w:endnotePr>
            <w:numFmt w:val="lowerLetter"/>
          </w:endnotePr>
          <w:type w:val="continuous"/>
          <w:pgSz w:w="11907" w:h="16840" w:code="9"/>
          <w:pgMar w:top="2275" w:right="2693" w:bottom="1699" w:left="2693" w:header="2275" w:footer="1411" w:gutter="0"/>
          <w:pgNumType w:start="721"/>
          <w:cols w:space="720"/>
          <w:titlePg/>
          <w:bidi/>
          <w:rtlGutter/>
          <w:docGrid w:linePitch="272"/>
        </w:sectPr>
      </w:pPr>
    </w:p>
    <w:p w:rsidR="00F706F7" w:rsidRDefault="00F706F7">
      <w:pPr>
        <w:pStyle w:val="a1"/>
        <w:spacing w:before="240" w:line="260" w:lineRule="exact"/>
        <w:rPr>
          <w:rtl/>
        </w:rPr>
      </w:pPr>
      <w:r>
        <w:rPr>
          <w:rtl/>
        </w:rPr>
        <w:lastRenderedPageBreak/>
        <w:t>חקיקה ראשית שאוזכרה:</w:t>
      </w:r>
    </w:p>
    <w:p w:rsidR="00F706F7" w:rsidRDefault="00F706F7">
      <w:pPr>
        <w:pStyle w:val="a1"/>
        <w:spacing w:line="260" w:lineRule="exact"/>
        <w:rPr>
          <w:rFonts w:hint="cs"/>
          <w:rtl/>
        </w:rPr>
      </w:pPr>
      <w:r>
        <w:rPr>
          <w:rtl/>
        </w:rPr>
        <w:t>–</w:t>
      </w:r>
      <w:r>
        <w:rPr>
          <w:rtl/>
        </w:rPr>
        <w:tab/>
      </w:r>
      <w:hyperlink r:id="rId15" w:history="1">
        <w:r w:rsidR="00FC41C2" w:rsidRPr="00FC41C2">
          <w:rPr>
            <w:rStyle w:val="Hyperlink"/>
            <w:rFonts w:hint="eastAsia"/>
            <w:rtl/>
          </w:rPr>
          <w:t>חוק</w:t>
        </w:r>
        <w:r w:rsidR="00FC41C2" w:rsidRPr="00FC41C2">
          <w:rPr>
            <w:rStyle w:val="Hyperlink"/>
            <w:rtl/>
          </w:rPr>
          <w:t xml:space="preserve"> ההגבלים העסקיים</w:t>
        </w:r>
      </w:hyperlink>
      <w:r>
        <w:rPr>
          <w:rFonts w:hint="cs"/>
          <w:rtl/>
        </w:rPr>
        <w:t>, תשמ"ח-1988, סעיפים 2(א), 2(ב)(1), 2(ב)(3), 2(ב)(4), 4, 47(א)(1), 48.</w:t>
      </w:r>
      <w:r>
        <w:rPr>
          <w:color w:val="FFFFFF"/>
          <w:sz w:val="4"/>
          <w:szCs w:val="4"/>
          <w:rtl/>
        </w:rPr>
        <w:t>ב</w:t>
      </w:r>
    </w:p>
    <w:p w:rsidR="00F706F7" w:rsidRDefault="00F706F7">
      <w:pPr>
        <w:pStyle w:val="a1"/>
        <w:spacing w:line="260" w:lineRule="exact"/>
        <w:rPr>
          <w:rtl/>
        </w:rPr>
      </w:pPr>
      <w:r>
        <w:rPr>
          <w:rtl/>
        </w:rPr>
        <w:t>–</w:t>
      </w:r>
      <w:r>
        <w:rPr>
          <w:rtl/>
        </w:rPr>
        <w:tab/>
      </w:r>
      <w:hyperlink r:id="rId16" w:history="1">
        <w:r w:rsidR="00FC41C2" w:rsidRPr="00FC41C2">
          <w:rPr>
            <w:rStyle w:val="Hyperlink"/>
            <w:rFonts w:hint="eastAsia"/>
            <w:rtl/>
          </w:rPr>
          <w:t>חוק</w:t>
        </w:r>
        <w:r w:rsidR="00FC41C2" w:rsidRPr="00FC41C2">
          <w:rPr>
            <w:rStyle w:val="Hyperlink"/>
            <w:rtl/>
          </w:rPr>
          <w:t xml:space="preserve"> סדר הדין הפלילי</w:t>
        </w:r>
      </w:hyperlink>
      <w:r>
        <w:rPr>
          <w:rFonts w:hint="cs"/>
          <w:rtl/>
        </w:rPr>
        <w:t xml:space="preserve"> [נוסח משולב], תשמ"ב-1982, סעיף 192א.</w:t>
      </w:r>
      <w:r>
        <w:rPr>
          <w:color w:val="FFFFFF"/>
          <w:sz w:val="4"/>
          <w:szCs w:val="4"/>
          <w:rtl/>
        </w:rPr>
        <w:t>ו</w:t>
      </w:r>
    </w:p>
    <w:p w:rsidR="00F706F7" w:rsidRDefault="00F706F7">
      <w:pPr>
        <w:pStyle w:val="a1"/>
        <w:spacing w:before="240" w:line="260" w:lineRule="exact"/>
        <w:rPr>
          <w:rtl/>
        </w:rPr>
      </w:pPr>
      <w:r>
        <w:rPr>
          <w:rtl/>
        </w:rPr>
        <w:t>פסקי</w:t>
      </w:r>
      <w:r>
        <w:rPr>
          <w:position w:val="4"/>
          <w:sz w:val="22"/>
          <w:rtl/>
        </w:rPr>
        <w:t>-</w:t>
      </w:r>
      <w:r>
        <w:rPr>
          <w:rtl/>
        </w:rPr>
        <w:t>דין של בית</w:t>
      </w:r>
      <w:r>
        <w:rPr>
          <w:position w:val="4"/>
          <w:sz w:val="22"/>
          <w:rtl/>
        </w:rPr>
        <w:t>-</w:t>
      </w:r>
      <w:r>
        <w:rPr>
          <w:rtl/>
        </w:rPr>
        <w:t>המשפט העליון שאוזכרו:</w:t>
      </w:r>
    </w:p>
    <w:p w:rsidR="00F706F7" w:rsidRDefault="00F706F7">
      <w:pPr>
        <w:pStyle w:val="a1"/>
        <w:spacing w:line="260" w:lineRule="exact"/>
        <w:rPr>
          <w:rFonts w:hint="cs"/>
          <w:rtl/>
        </w:rPr>
      </w:pPr>
      <w:r>
        <w:rPr>
          <w:rtl/>
        </w:rPr>
        <w:t>[1]</w:t>
      </w:r>
      <w:r>
        <w:rPr>
          <w:rtl/>
        </w:rPr>
        <w:tab/>
      </w:r>
      <w:hyperlink r:id="rId17" w:history="1">
        <w:r w:rsidR="00FC41C2" w:rsidRPr="00FC41C2">
          <w:rPr>
            <w:rStyle w:val="Hyperlink"/>
            <w:rtl/>
          </w:rPr>
          <w:t>דנ"א 4465/98 טבעול (1993) בע"מ נ' שף-הים (1994) בע"מ, פ"ד נו</w:t>
        </w:r>
      </w:hyperlink>
      <w:r>
        <w:rPr>
          <w:rtl/>
        </w:rPr>
        <w:t>(1) 56</w:t>
      </w:r>
      <w:r>
        <w:rPr>
          <w:rFonts w:hint="cs"/>
          <w:rtl/>
        </w:rPr>
        <w:t>.</w:t>
      </w:r>
      <w:r>
        <w:rPr>
          <w:color w:val="FFFFFF"/>
          <w:sz w:val="4"/>
          <w:szCs w:val="4"/>
          <w:rtl/>
        </w:rPr>
        <w:t>נ</w:t>
      </w:r>
    </w:p>
    <w:p w:rsidR="00F706F7" w:rsidRDefault="00F706F7">
      <w:pPr>
        <w:pStyle w:val="a1"/>
        <w:spacing w:line="260" w:lineRule="exact"/>
        <w:rPr>
          <w:rFonts w:hint="cs"/>
          <w:rtl/>
        </w:rPr>
      </w:pPr>
      <w:r>
        <w:rPr>
          <w:rtl/>
        </w:rPr>
        <w:t>[2]</w:t>
      </w:r>
      <w:r>
        <w:rPr>
          <w:rtl/>
        </w:rPr>
        <w:tab/>
      </w:r>
      <w:hyperlink r:id="rId18" w:history="1">
        <w:r w:rsidR="00FC41C2" w:rsidRPr="00FC41C2">
          <w:rPr>
            <w:rStyle w:val="Hyperlink"/>
            <w:rFonts w:hint="eastAsia"/>
            <w:rtl/>
          </w:rPr>
          <w:t>ע</w:t>
        </w:r>
        <w:r w:rsidR="00FC41C2" w:rsidRPr="00FC41C2">
          <w:rPr>
            <w:rStyle w:val="Hyperlink"/>
            <w:rtl/>
          </w:rPr>
          <w:t>"פ 7399/95 נחושתן תעשיות מעליות בע"מ נ' מדינת ישראל, פ"ד נב</w:t>
        </w:r>
      </w:hyperlink>
      <w:r>
        <w:rPr>
          <w:rFonts w:hint="cs"/>
          <w:rtl/>
        </w:rPr>
        <w:t>(2) 105.</w:t>
      </w:r>
      <w:r>
        <w:rPr>
          <w:color w:val="FFFFFF"/>
          <w:sz w:val="4"/>
          <w:szCs w:val="4"/>
          <w:rtl/>
        </w:rPr>
        <w:t>ב</w:t>
      </w:r>
    </w:p>
    <w:p w:rsidR="00F706F7" w:rsidRDefault="00F706F7">
      <w:pPr>
        <w:pStyle w:val="a1"/>
        <w:spacing w:line="260" w:lineRule="exact"/>
        <w:rPr>
          <w:rFonts w:hint="cs"/>
          <w:rtl/>
        </w:rPr>
      </w:pPr>
      <w:r>
        <w:rPr>
          <w:rFonts w:hint="cs"/>
          <w:rtl/>
        </w:rPr>
        <w:t>[3]</w:t>
      </w:r>
      <w:r>
        <w:rPr>
          <w:rFonts w:hint="cs"/>
          <w:rtl/>
        </w:rPr>
        <w:tab/>
      </w:r>
      <w:hyperlink r:id="rId19" w:history="1">
        <w:r w:rsidR="00FC41C2" w:rsidRPr="00FC41C2">
          <w:rPr>
            <w:rStyle w:val="Hyperlink"/>
            <w:rFonts w:hint="eastAsia"/>
            <w:spacing w:val="-2"/>
            <w:rtl/>
          </w:rPr>
          <w:t>ע</w:t>
        </w:r>
        <w:r w:rsidR="00FC41C2" w:rsidRPr="00FC41C2">
          <w:rPr>
            <w:rStyle w:val="Hyperlink"/>
            <w:spacing w:val="-2"/>
            <w:rtl/>
          </w:rPr>
          <w:t>"א 3700/98 א.מ. חניות (ירושלים) 1993 בע"מ נ' עיריית ירושלים, פ"ד נז</w:t>
        </w:r>
      </w:hyperlink>
      <w:r>
        <w:rPr>
          <w:rFonts w:hint="cs"/>
          <w:spacing w:val="-2"/>
          <w:rtl/>
        </w:rPr>
        <w:t>(2) 590</w:t>
      </w:r>
      <w:r>
        <w:rPr>
          <w:rFonts w:hint="cs"/>
          <w:rtl/>
        </w:rPr>
        <w:t>.</w:t>
      </w:r>
      <w:r>
        <w:rPr>
          <w:color w:val="FFFFFF"/>
          <w:sz w:val="4"/>
          <w:szCs w:val="4"/>
          <w:rtl/>
        </w:rPr>
        <w:t>ו</w:t>
      </w:r>
    </w:p>
    <w:p w:rsidR="00F706F7" w:rsidRDefault="00F706F7">
      <w:pPr>
        <w:pStyle w:val="a1"/>
        <w:spacing w:line="260" w:lineRule="exact"/>
        <w:rPr>
          <w:rFonts w:hint="cs"/>
          <w:rtl/>
        </w:rPr>
      </w:pPr>
      <w:r>
        <w:rPr>
          <w:rFonts w:hint="cs"/>
          <w:rtl/>
        </w:rPr>
        <w:t>[4]</w:t>
      </w:r>
      <w:r>
        <w:rPr>
          <w:rFonts w:hint="cs"/>
          <w:rtl/>
        </w:rPr>
        <w:tab/>
      </w:r>
      <w:hyperlink r:id="rId20" w:history="1">
        <w:r w:rsidR="00FC41C2" w:rsidRPr="00FC41C2">
          <w:rPr>
            <w:rStyle w:val="Hyperlink"/>
            <w:rFonts w:hint="eastAsia"/>
            <w:rtl/>
          </w:rPr>
          <w:t>דנ</w:t>
        </w:r>
        <w:r w:rsidR="00FC41C2" w:rsidRPr="00FC41C2">
          <w:rPr>
            <w:rStyle w:val="Hyperlink"/>
            <w:rtl/>
          </w:rPr>
          <w:t>"א 3113/03</w:t>
        </w:r>
      </w:hyperlink>
      <w:r>
        <w:rPr>
          <w:rFonts w:hint="cs"/>
          <w:rtl/>
        </w:rPr>
        <w:t xml:space="preserve"> </w:t>
      </w:r>
      <w:r>
        <w:rPr>
          <w:rFonts w:cs="Miriam" w:hint="cs"/>
          <w:b/>
          <w:sz w:val="28"/>
          <w:szCs w:val="19"/>
          <w:rtl/>
        </w:rPr>
        <w:t>א. מ. חנויות (ירושלים) 1993 בע"מ נ' עירית ירושלים</w:t>
      </w:r>
      <w:r>
        <w:rPr>
          <w:rFonts w:hint="cs"/>
          <w:rtl/>
        </w:rPr>
        <w:t xml:space="preserve"> </w:t>
      </w:r>
      <w:r>
        <w:rPr>
          <w:rtl/>
        </w:rPr>
        <w:br/>
      </w:r>
      <w:r>
        <w:rPr>
          <w:rFonts w:hint="cs"/>
          <w:rtl/>
        </w:rPr>
        <w:t>(לא פורסם).</w:t>
      </w:r>
      <w:r>
        <w:rPr>
          <w:color w:val="FFFFFF"/>
          <w:sz w:val="4"/>
          <w:szCs w:val="4"/>
          <w:rtl/>
        </w:rPr>
        <w:t>נ</w:t>
      </w:r>
    </w:p>
    <w:p w:rsidR="00F706F7" w:rsidRDefault="00F706F7">
      <w:pPr>
        <w:pStyle w:val="a1"/>
        <w:spacing w:line="260" w:lineRule="exact"/>
        <w:rPr>
          <w:rFonts w:hint="cs"/>
          <w:rtl/>
        </w:rPr>
      </w:pPr>
      <w:r>
        <w:rPr>
          <w:rFonts w:hint="cs"/>
          <w:rtl/>
        </w:rPr>
        <w:t>[5]</w:t>
      </w:r>
      <w:r>
        <w:rPr>
          <w:rFonts w:hint="cs"/>
          <w:rtl/>
        </w:rPr>
        <w:tab/>
      </w:r>
      <w:hyperlink r:id="rId21" w:history="1">
        <w:r w:rsidR="00FC41C2" w:rsidRPr="00FC41C2">
          <w:rPr>
            <w:rStyle w:val="Hyperlink"/>
            <w:rtl/>
          </w:rPr>
          <w:t>ע"פ 2083/96 כתב נ' מדינת ישראל, פ"ד נב</w:t>
        </w:r>
      </w:hyperlink>
      <w:r>
        <w:rPr>
          <w:rtl/>
        </w:rPr>
        <w:t>(3) 337</w:t>
      </w:r>
      <w:r>
        <w:rPr>
          <w:rFonts w:hint="cs"/>
          <w:rtl/>
        </w:rPr>
        <w:t>.</w:t>
      </w:r>
      <w:r>
        <w:rPr>
          <w:color w:val="FFFFFF"/>
          <w:sz w:val="4"/>
          <w:szCs w:val="4"/>
          <w:rtl/>
        </w:rPr>
        <w:t>ב</w:t>
      </w:r>
    </w:p>
    <w:p w:rsidR="00F706F7" w:rsidRDefault="00F82D59">
      <w:pPr>
        <w:pStyle w:val="a1"/>
        <w:spacing w:line="260" w:lineRule="exact"/>
        <w:rPr>
          <w:rFonts w:hint="cs"/>
          <w:sz w:val="28"/>
          <w:rtl/>
        </w:rPr>
      </w:pPr>
      <w:r>
        <w:rPr>
          <w:rtl/>
        </w:rPr>
        <w:br w:type="page"/>
      </w:r>
      <w:r w:rsidR="00F706F7">
        <w:rPr>
          <w:rFonts w:hint="cs"/>
          <w:rtl/>
        </w:rPr>
        <w:lastRenderedPageBreak/>
        <w:t>[6]</w:t>
      </w:r>
      <w:r w:rsidR="00F706F7">
        <w:rPr>
          <w:rFonts w:hint="cs"/>
          <w:rtl/>
        </w:rPr>
        <w:tab/>
      </w:r>
      <w:hyperlink r:id="rId22" w:history="1">
        <w:r w:rsidR="00FC41C2" w:rsidRPr="00FC41C2">
          <w:rPr>
            <w:rStyle w:val="Hyperlink"/>
            <w:rFonts w:hint="eastAsia"/>
            <w:rtl/>
          </w:rPr>
          <w:t>ע</w:t>
        </w:r>
        <w:r w:rsidR="00FC41C2" w:rsidRPr="00FC41C2">
          <w:rPr>
            <w:rStyle w:val="Hyperlink"/>
            <w:rtl/>
          </w:rPr>
          <w:t>"פ 2754/97</w:t>
        </w:r>
      </w:hyperlink>
      <w:r w:rsidR="00F706F7">
        <w:rPr>
          <w:rFonts w:hint="cs"/>
          <w:rtl/>
        </w:rPr>
        <w:t xml:space="preserve"> </w:t>
      </w:r>
      <w:r w:rsidR="00F706F7">
        <w:rPr>
          <w:rFonts w:cs="Miriam" w:hint="cs"/>
          <w:b/>
          <w:sz w:val="28"/>
          <w:szCs w:val="19"/>
          <w:rtl/>
        </w:rPr>
        <w:t xml:space="preserve">צור נ' מדינת ישראל </w:t>
      </w:r>
      <w:r w:rsidR="00F706F7">
        <w:rPr>
          <w:rFonts w:hint="cs"/>
          <w:sz w:val="28"/>
          <w:rtl/>
        </w:rPr>
        <w:t>(לא פורסם).</w:t>
      </w:r>
      <w:r w:rsidR="00F706F7">
        <w:rPr>
          <w:color w:val="FFFFFF"/>
          <w:sz w:val="4"/>
          <w:szCs w:val="4"/>
          <w:rtl/>
        </w:rPr>
        <w:t>ו</w:t>
      </w:r>
    </w:p>
    <w:p w:rsidR="00F706F7" w:rsidRDefault="00F706F7">
      <w:pPr>
        <w:pStyle w:val="a1"/>
        <w:spacing w:line="260" w:lineRule="exact"/>
        <w:rPr>
          <w:rFonts w:hint="cs"/>
          <w:rtl/>
        </w:rPr>
      </w:pPr>
      <w:r>
        <w:rPr>
          <w:rFonts w:hint="cs"/>
          <w:sz w:val="28"/>
          <w:rtl/>
        </w:rPr>
        <w:t>[7]</w:t>
      </w:r>
      <w:r>
        <w:rPr>
          <w:rFonts w:hint="cs"/>
          <w:sz w:val="28"/>
          <w:rtl/>
        </w:rPr>
        <w:tab/>
      </w:r>
      <w:hyperlink r:id="rId23" w:history="1">
        <w:r w:rsidR="00FC41C2" w:rsidRPr="00FC41C2">
          <w:rPr>
            <w:rStyle w:val="Hyperlink"/>
            <w:rFonts w:hint="eastAsia"/>
            <w:rtl/>
          </w:rPr>
          <w:t>ע</w:t>
        </w:r>
        <w:r w:rsidR="00FC41C2" w:rsidRPr="00FC41C2">
          <w:rPr>
            <w:rStyle w:val="Hyperlink"/>
            <w:rtl/>
          </w:rPr>
          <w:t>"פ 2919/02</w:t>
        </w:r>
      </w:hyperlink>
      <w:r>
        <w:rPr>
          <w:rFonts w:hint="cs"/>
          <w:rtl/>
        </w:rPr>
        <w:t xml:space="preserve"> </w:t>
      </w:r>
      <w:r>
        <w:rPr>
          <w:rFonts w:cs="Miriam" w:hint="cs"/>
          <w:b/>
          <w:sz w:val="28"/>
          <w:szCs w:val="19"/>
          <w:rtl/>
        </w:rPr>
        <w:t>אלוני נ' מדינת ישראל</w:t>
      </w:r>
      <w:r>
        <w:rPr>
          <w:rFonts w:hint="cs"/>
          <w:rtl/>
        </w:rPr>
        <w:t xml:space="preserve"> (לא פורסם).</w:t>
      </w:r>
      <w:r>
        <w:rPr>
          <w:color w:val="FFFFFF"/>
          <w:sz w:val="4"/>
          <w:szCs w:val="4"/>
          <w:rtl/>
        </w:rPr>
        <w:t>נ</w:t>
      </w:r>
    </w:p>
    <w:p w:rsidR="00F706F7" w:rsidRDefault="00F706F7">
      <w:pPr>
        <w:pStyle w:val="a1"/>
        <w:spacing w:before="240" w:line="260" w:lineRule="exact"/>
        <w:rPr>
          <w:rtl/>
        </w:rPr>
      </w:pPr>
      <w:r>
        <w:rPr>
          <w:rtl/>
        </w:rPr>
        <w:t>פסקי</w:t>
      </w:r>
      <w:r>
        <w:rPr>
          <w:position w:val="4"/>
          <w:sz w:val="22"/>
          <w:rtl/>
        </w:rPr>
        <w:t>-</w:t>
      </w:r>
      <w:r>
        <w:rPr>
          <w:rtl/>
        </w:rPr>
        <w:t>דין של ב</w:t>
      </w:r>
      <w:r>
        <w:rPr>
          <w:rFonts w:hint="cs"/>
          <w:rtl/>
        </w:rPr>
        <w:t>ת</w:t>
      </w:r>
      <w:r>
        <w:rPr>
          <w:rtl/>
        </w:rPr>
        <w:t>י</w:t>
      </w:r>
      <w:r>
        <w:rPr>
          <w:position w:val="4"/>
          <w:sz w:val="22"/>
          <w:rtl/>
        </w:rPr>
        <w:t>-</w:t>
      </w:r>
      <w:r>
        <w:rPr>
          <w:rtl/>
        </w:rPr>
        <w:t xml:space="preserve">המשפט </w:t>
      </w:r>
      <w:r>
        <w:rPr>
          <w:rFonts w:hint="cs"/>
          <w:rtl/>
        </w:rPr>
        <w:t>המחוזיים</w:t>
      </w:r>
      <w:r>
        <w:rPr>
          <w:rtl/>
        </w:rPr>
        <w:t xml:space="preserve"> שאוזכרו:</w:t>
      </w:r>
    </w:p>
    <w:p w:rsidR="00F706F7" w:rsidRDefault="00F706F7">
      <w:pPr>
        <w:pStyle w:val="a1"/>
        <w:spacing w:line="260" w:lineRule="exact"/>
        <w:rPr>
          <w:rFonts w:hint="cs"/>
          <w:rtl/>
        </w:rPr>
      </w:pPr>
      <w:r>
        <w:rPr>
          <w:rFonts w:hint="cs"/>
          <w:rtl/>
        </w:rPr>
        <w:t>[8]</w:t>
      </w:r>
      <w:r>
        <w:rPr>
          <w:rFonts w:hint="cs"/>
          <w:rtl/>
        </w:rPr>
        <w:tab/>
        <w:t xml:space="preserve">ת"א (י-ם) 396/87 </w:t>
      </w:r>
      <w:r>
        <w:rPr>
          <w:rFonts w:cs="Miriam" w:hint="cs"/>
          <w:b/>
          <w:sz w:val="28"/>
          <w:szCs w:val="19"/>
          <w:rtl/>
        </w:rPr>
        <w:t>קיסין נ' פטרולגז חברת הגז הישראלית (1969) בע"מ</w:t>
      </w:r>
      <w:r>
        <w:rPr>
          <w:rFonts w:hint="cs"/>
          <w:rtl/>
        </w:rPr>
        <w:t xml:space="preserve"> (לא פורסם).</w:t>
      </w:r>
      <w:r>
        <w:rPr>
          <w:color w:val="FFFFFF"/>
          <w:sz w:val="4"/>
          <w:szCs w:val="4"/>
          <w:rtl/>
        </w:rPr>
        <w:t>ב</w:t>
      </w:r>
    </w:p>
    <w:p w:rsidR="00F706F7" w:rsidRDefault="00F706F7">
      <w:pPr>
        <w:pStyle w:val="a"/>
        <w:spacing w:before="240"/>
        <w:ind w:firstLine="0"/>
        <w:rPr>
          <w:rFonts w:hint="cs"/>
          <w:b/>
          <w:sz w:val="24"/>
          <w:rtl/>
        </w:rPr>
      </w:pPr>
      <w:r>
        <w:rPr>
          <w:rFonts w:hint="cs"/>
          <w:rtl/>
        </w:rPr>
        <w:t>ערעורים על פסק</w:t>
      </w:r>
      <w:r>
        <w:rPr>
          <w:rFonts w:hint="cs"/>
          <w:position w:val="4"/>
          <w:rtl/>
        </w:rPr>
        <w:t>-</w:t>
      </w:r>
      <w:r>
        <w:rPr>
          <w:rFonts w:hint="cs"/>
          <w:rtl/>
        </w:rPr>
        <w:t>דינו של בית</w:t>
      </w:r>
      <w:r>
        <w:rPr>
          <w:rFonts w:hint="cs"/>
          <w:position w:val="4"/>
          <w:rtl/>
        </w:rPr>
        <w:t>-</w:t>
      </w:r>
      <w:r>
        <w:rPr>
          <w:rFonts w:hint="cs"/>
          <w:rtl/>
        </w:rPr>
        <w:t>המשפט המחוזי בירושלים (</w:t>
      </w:r>
      <w:r>
        <w:rPr>
          <w:rFonts w:cs="Miriam" w:hint="cs"/>
          <w:szCs w:val="19"/>
          <w:rtl/>
        </w:rPr>
        <w:t>השופט י' עדיאל</w:t>
      </w:r>
      <w:r>
        <w:rPr>
          <w:rFonts w:hint="cs"/>
          <w:rtl/>
        </w:rPr>
        <w:t>) מיום 4.8.2002 ומיום 17.12.2002 ב</w:t>
      </w:r>
      <w:hyperlink r:id="rId24" w:history="1">
        <w:r w:rsidR="00FC41C2" w:rsidRPr="00FC41C2">
          <w:rPr>
            <w:rStyle w:val="Hyperlink"/>
            <w:rFonts w:hint="eastAsia"/>
            <w:rtl/>
          </w:rPr>
          <w:t>ת</w:t>
        </w:r>
        <w:r w:rsidR="00FC41C2" w:rsidRPr="00FC41C2">
          <w:rPr>
            <w:rStyle w:val="Hyperlink"/>
            <w:rtl/>
          </w:rPr>
          <w:t>"פ 209/96</w:t>
        </w:r>
      </w:hyperlink>
      <w:r>
        <w:rPr>
          <w:rFonts w:hint="cs"/>
          <w:rtl/>
        </w:rPr>
        <w:t xml:space="preserve">. </w:t>
      </w:r>
      <w:r>
        <w:rPr>
          <w:rFonts w:cs="Miriam" w:hint="cs"/>
          <w:szCs w:val="19"/>
          <w:rtl/>
        </w:rPr>
        <w:t>הערעורים נדחו</w:t>
      </w:r>
      <w:r>
        <w:rPr>
          <w:rFonts w:hint="cs"/>
          <w:b/>
          <w:sz w:val="24"/>
          <w:rtl/>
        </w:rPr>
        <w:t>.</w:t>
      </w:r>
      <w:r>
        <w:rPr>
          <w:b/>
          <w:color w:val="FFFFFF"/>
          <w:sz w:val="4"/>
          <w:szCs w:val="4"/>
          <w:rtl/>
        </w:rPr>
        <w:t>ו</w:t>
      </w:r>
    </w:p>
    <w:p w:rsidR="00F706F7" w:rsidRDefault="00F706F7">
      <w:pPr>
        <w:pStyle w:val="a"/>
        <w:spacing w:after="60"/>
        <w:ind w:left="284" w:hanging="284"/>
        <w:rPr>
          <w:rFonts w:hint="cs"/>
          <w:rtl/>
        </w:rPr>
      </w:pPr>
      <w:r>
        <w:rPr>
          <w:rFonts w:hint="cs"/>
          <w:rtl/>
        </w:rPr>
        <w:t>דוד ליבאי, גלי פולק</w:t>
      </w:r>
      <w:r>
        <w:rPr>
          <w:rFonts w:hint="cs"/>
          <w:position w:val="4"/>
          <w:rtl/>
        </w:rPr>
        <w:t>-</w:t>
      </w:r>
      <w:r>
        <w:rPr>
          <w:rFonts w:hint="cs"/>
          <w:rtl/>
        </w:rPr>
        <w:t>רון</w:t>
      </w:r>
      <w:r>
        <w:rPr>
          <w:rtl/>
        </w:rPr>
        <w:t xml:space="preserve"> – בשם </w:t>
      </w:r>
      <w:r>
        <w:rPr>
          <w:rFonts w:hint="cs"/>
          <w:rtl/>
        </w:rPr>
        <w:t>המערערים ב</w:t>
      </w:r>
      <w:hyperlink r:id="rId25" w:history="1">
        <w:r w:rsidR="00FC41C2" w:rsidRPr="00FC41C2">
          <w:rPr>
            <w:rStyle w:val="Hyperlink"/>
            <w:rFonts w:hint="eastAsia"/>
            <w:rtl/>
          </w:rPr>
          <w:t>ע</w:t>
        </w:r>
        <w:r w:rsidR="00FC41C2" w:rsidRPr="00FC41C2">
          <w:rPr>
            <w:rStyle w:val="Hyperlink"/>
            <w:rtl/>
          </w:rPr>
          <w:t>"פ 1042/03;</w:t>
        </w:r>
      </w:hyperlink>
    </w:p>
    <w:p w:rsidR="00F706F7" w:rsidRDefault="00F706F7">
      <w:pPr>
        <w:pStyle w:val="a"/>
        <w:spacing w:after="60"/>
        <w:ind w:left="284" w:hanging="284"/>
        <w:rPr>
          <w:rFonts w:hint="cs"/>
          <w:rtl/>
        </w:rPr>
      </w:pPr>
      <w:r>
        <w:rPr>
          <w:rFonts w:hint="cs"/>
          <w:rtl/>
        </w:rPr>
        <w:t>יעקב בויאר, מירב וייס – בשם המערער ב</w:t>
      </w:r>
      <w:hyperlink r:id="rId26" w:history="1">
        <w:r w:rsidR="00FC41C2" w:rsidRPr="00FC41C2">
          <w:rPr>
            <w:rStyle w:val="Hyperlink"/>
            <w:rFonts w:hint="eastAsia"/>
            <w:rtl/>
          </w:rPr>
          <w:t>ע</w:t>
        </w:r>
        <w:r w:rsidR="00FC41C2" w:rsidRPr="00FC41C2">
          <w:rPr>
            <w:rStyle w:val="Hyperlink"/>
            <w:rtl/>
          </w:rPr>
          <w:t>"פ 1058/03;</w:t>
        </w:r>
      </w:hyperlink>
    </w:p>
    <w:p w:rsidR="00F706F7" w:rsidRDefault="00F706F7">
      <w:pPr>
        <w:pStyle w:val="a"/>
        <w:spacing w:after="60"/>
        <w:ind w:left="284" w:hanging="284"/>
        <w:rPr>
          <w:rtl/>
        </w:rPr>
      </w:pPr>
      <w:r>
        <w:rPr>
          <w:rFonts w:hint="cs"/>
          <w:rtl/>
        </w:rPr>
        <w:t>אשר גושן, סגן היועץ המשפטי ברשות ההגבלים העיסקיים – בשם המשיבה ב</w:t>
      </w:r>
      <w:hyperlink r:id="rId27" w:history="1">
        <w:r w:rsidR="00FC41C2" w:rsidRPr="00FC41C2">
          <w:rPr>
            <w:rStyle w:val="Hyperlink"/>
            <w:rFonts w:hint="eastAsia"/>
            <w:rtl/>
          </w:rPr>
          <w:t>ע</w:t>
        </w:r>
        <w:r w:rsidR="00FC41C2" w:rsidRPr="00FC41C2">
          <w:rPr>
            <w:rStyle w:val="Hyperlink"/>
            <w:rtl/>
          </w:rPr>
          <w:t>"פ 1042/03</w:t>
        </w:r>
      </w:hyperlink>
      <w:r>
        <w:rPr>
          <w:rFonts w:hint="cs"/>
          <w:rtl/>
        </w:rPr>
        <w:t>, 1058.</w:t>
      </w:r>
      <w:r>
        <w:rPr>
          <w:color w:val="FFFFFF"/>
          <w:sz w:val="4"/>
          <w:szCs w:val="4"/>
          <w:rtl/>
        </w:rPr>
        <w:t>נ</w:t>
      </w:r>
    </w:p>
    <w:p w:rsidR="00F706F7" w:rsidRDefault="00F706F7">
      <w:pPr>
        <w:pStyle w:val="-"/>
        <w:spacing w:before="360" w:after="240"/>
        <w:rPr>
          <w:spacing w:val="20"/>
          <w:u w:val="none"/>
          <w:rtl/>
        </w:rPr>
      </w:pPr>
      <w:bookmarkStart w:id="3" w:name="PsakDin"/>
      <w:bookmarkEnd w:id="2"/>
      <w:r>
        <w:rPr>
          <w:spacing w:val="20"/>
          <w:u w:val="none"/>
          <w:rtl/>
        </w:rPr>
        <w:t>פסק</w:t>
      </w:r>
      <w:r>
        <w:rPr>
          <w:spacing w:val="20"/>
          <w:position w:val="5"/>
          <w:u w:val="none"/>
          <w:rtl/>
        </w:rPr>
        <w:t>-</w:t>
      </w:r>
      <w:r>
        <w:rPr>
          <w:spacing w:val="20"/>
          <w:u w:val="none"/>
          <w:rtl/>
        </w:rPr>
        <w:t>דין</w:t>
      </w:r>
    </w:p>
    <w:p w:rsidR="00F706F7" w:rsidRDefault="00F706F7">
      <w:pPr>
        <w:pStyle w:val="a2"/>
        <w:rPr>
          <w:rFonts w:hint="cs"/>
          <w:rtl/>
        </w:rPr>
      </w:pPr>
      <w:bookmarkStart w:id="4" w:name="WRITER_NAME"/>
      <w:bookmarkEnd w:id="3"/>
      <w:r>
        <w:rPr>
          <w:rtl/>
        </w:rPr>
        <w:t>השופט</w:t>
      </w:r>
      <w:r>
        <w:rPr>
          <w:rFonts w:hint="cs"/>
          <w:rtl/>
        </w:rPr>
        <w:t>ת</w:t>
      </w:r>
      <w:r>
        <w:rPr>
          <w:rtl/>
        </w:rPr>
        <w:t xml:space="preserve"> </w:t>
      </w:r>
      <w:r>
        <w:rPr>
          <w:rFonts w:hint="cs"/>
          <w:rtl/>
        </w:rPr>
        <w:t>מ</w:t>
      </w:r>
      <w:r>
        <w:rPr>
          <w:rtl/>
        </w:rPr>
        <w:t xml:space="preserve">' </w:t>
      </w:r>
      <w:bookmarkEnd w:id="4"/>
      <w:r>
        <w:rPr>
          <w:rFonts w:hint="cs"/>
          <w:rtl/>
        </w:rPr>
        <w:t>נאור</w:t>
      </w:r>
    </w:p>
    <w:p w:rsidR="00F706F7" w:rsidRDefault="00F706F7">
      <w:pPr>
        <w:pStyle w:val="a"/>
        <w:rPr>
          <w:rFonts w:cs="Miriam" w:hint="cs"/>
          <w:szCs w:val="19"/>
          <w:rtl/>
        </w:rPr>
      </w:pPr>
      <w:r>
        <w:rPr>
          <w:rFonts w:cs="Miriam" w:hint="cs"/>
          <w:szCs w:val="19"/>
          <w:rtl/>
        </w:rPr>
        <w:t>הערעורים</w:t>
      </w:r>
    </w:p>
    <w:p w:rsidR="00F82D59" w:rsidRDefault="00F706F7">
      <w:pPr>
        <w:pStyle w:val="a"/>
        <w:rPr>
          <w:rtl/>
        </w:rPr>
      </w:pPr>
      <w:r>
        <w:rPr>
          <w:rFonts w:hint="cs"/>
          <w:rtl/>
        </w:rPr>
        <w:t>1.</w:t>
      </w:r>
      <w:r>
        <w:rPr>
          <w:rFonts w:hint="cs"/>
          <w:rtl/>
        </w:rPr>
        <w:tab/>
        <w:t>בפני בית</w:t>
      </w:r>
      <w:r>
        <w:rPr>
          <w:rFonts w:hint="cs"/>
          <w:position w:val="4"/>
          <w:rtl/>
        </w:rPr>
        <w:t>-</w:t>
      </w:r>
      <w:r>
        <w:rPr>
          <w:rFonts w:hint="cs"/>
          <w:rtl/>
        </w:rPr>
        <w:t xml:space="preserve">המשפט המחוזי בירושלים (כבוד </w:t>
      </w:r>
      <w:r>
        <w:rPr>
          <w:rFonts w:cs="Miriam" w:hint="cs"/>
          <w:szCs w:val="19"/>
          <w:rtl/>
        </w:rPr>
        <w:t>השופט י' עדיאל</w:t>
      </w:r>
      <w:r>
        <w:rPr>
          <w:rFonts w:hint="cs"/>
          <w:rtl/>
        </w:rPr>
        <w:t xml:space="preserve">) התנהל משפט פלילי רב היקף שעניינו עבירות על </w:t>
      </w:r>
      <w:hyperlink r:id="rId28" w:history="1">
        <w:r w:rsidR="00FC41C2" w:rsidRPr="00FC41C2">
          <w:rPr>
            <w:rStyle w:val="Hyperlink"/>
            <w:rFonts w:hint="eastAsia"/>
            <w:rtl/>
          </w:rPr>
          <w:t>חוק</w:t>
        </w:r>
        <w:r w:rsidR="00FC41C2" w:rsidRPr="00FC41C2">
          <w:rPr>
            <w:rStyle w:val="Hyperlink"/>
            <w:rtl/>
          </w:rPr>
          <w:t xml:space="preserve"> ההגבלים העסקיים</w:t>
        </w:r>
      </w:hyperlink>
      <w:r>
        <w:rPr>
          <w:rFonts w:hint="cs"/>
          <w:rtl/>
        </w:rPr>
        <w:t>, תשמ"ח-1988 (להלן – החוק או חוק ההגבלים העסקיים). הנאשמים השונים הואשמו בעבירות של הסדרים כובלים בתחום הייצור והשיווק של צנרת פוליאתילן להולכת קווי חשמל תקשורת ותיעול (להלן, ולשם קיצור – הצנרת). מלכתחילה כלל כתב</w:t>
      </w:r>
      <w:r>
        <w:rPr>
          <w:rFonts w:hint="cs"/>
          <w:position w:val="4"/>
          <w:rtl/>
        </w:rPr>
        <w:t>-</w:t>
      </w:r>
      <w:r>
        <w:rPr>
          <w:rFonts w:hint="cs"/>
          <w:rtl/>
        </w:rPr>
        <w:t>האישום 19 נאשמים. שניים מהם נמחקו, ההליך נגד אחת הנאשמות הותלה, וההליך נגד אחד הנאשמים עוכב. שישה נאשמים הודו והורשעו על</w:t>
      </w:r>
      <w:r>
        <w:rPr>
          <w:rFonts w:hint="cs"/>
          <w:position w:val="4"/>
          <w:rtl/>
        </w:rPr>
        <w:t>-</w:t>
      </w:r>
      <w:r>
        <w:rPr>
          <w:rFonts w:hint="cs"/>
          <w:rtl/>
        </w:rPr>
        <w:t>פי הודאתם. נותר עניינם של תשעה נאשמים, ובהם יעקב הרץ (מי שהיה בערכאה הראשונה הנאשם 2, והוא המערער ב</w:t>
      </w:r>
      <w:hyperlink r:id="rId29" w:history="1">
        <w:r w:rsidR="00FC41C2" w:rsidRPr="00FC41C2">
          <w:rPr>
            <w:rStyle w:val="Hyperlink"/>
            <w:rFonts w:hint="eastAsia"/>
            <w:rtl/>
          </w:rPr>
          <w:t>ע</w:t>
        </w:r>
        <w:r w:rsidR="00FC41C2" w:rsidRPr="00FC41C2">
          <w:rPr>
            <w:rStyle w:val="Hyperlink"/>
            <w:rtl/>
          </w:rPr>
          <w:t>"פ 1058/03</w:t>
        </w:r>
      </w:hyperlink>
      <w:r>
        <w:rPr>
          <w:rFonts w:hint="cs"/>
          <w:rtl/>
        </w:rPr>
        <w:t>), מצרפלס שותפות מוגבלת בע"מ (1974) (להלן – מצרפלס) ומנהלה דב אביטל (מי שהיו הנאשמים 18 ו</w:t>
      </w:r>
      <w:r>
        <w:rPr>
          <w:rFonts w:hint="cs"/>
          <w:position w:val="4"/>
          <w:rtl/>
        </w:rPr>
        <w:t>-</w:t>
      </w:r>
      <w:r>
        <w:rPr>
          <w:rFonts w:hint="cs"/>
          <w:rtl/>
        </w:rPr>
        <w:t>19 בערכאה הראשונה, והם המערערים ב</w:t>
      </w:r>
      <w:hyperlink r:id="rId30" w:history="1">
        <w:r w:rsidR="00FC41C2" w:rsidRPr="00FC41C2">
          <w:rPr>
            <w:rStyle w:val="Hyperlink"/>
            <w:rFonts w:hint="eastAsia"/>
            <w:rtl/>
          </w:rPr>
          <w:t>ע</w:t>
        </w:r>
        <w:r w:rsidR="00FC41C2" w:rsidRPr="00FC41C2">
          <w:rPr>
            <w:rStyle w:val="Hyperlink"/>
            <w:rtl/>
          </w:rPr>
          <w:t>"פ 1042/03</w:t>
        </w:r>
      </w:hyperlink>
      <w:r>
        <w:rPr>
          <w:rFonts w:hint="cs"/>
          <w:rtl/>
        </w:rPr>
        <w:t xml:space="preserve">). שלושת המערערים הורשעו בדין, ודינם נגזר – הכול כפי שעוד יפורט. הערעורים נדונו במאוחד. הרץ מערער על הרשעתו בדין ועל חומרת עונשו; מצרפלס </w:t>
      </w:r>
    </w:p>
    <w:p w:rsidR="00F706F7" w:rsidRDefault="00F82D59" w:rsidP="00F82D59">
      <w:pPr>
        <w:pStyle w:val="a"/>
        <w:ind w:firstLine="0"/>
        <w:rPr>
          <w:rFonts w:hint="cs"/>
          <w:rtl/>
        </w:rPr>
      </w:pPr>
      <w:r>
        <w:rPr>
          <w:rtl/>
        </w:rPr>
        <w:br w:type="page"/>
      </w:r>
      <w:r w:rsidR="00F706F7">
        <w:rPr>
          <w:rFonts w:hint="cs"/>
          <w:rtl/>
        </w:rPr>
        <w:t>מערערת על גובה הקנס שהוטל עליה; אביטל מערער על שבית</w:t>
      </w:r>
      <w:r w:rsidR="00F706F7">
        <w:rPr>
          <w:rFonts w:hint="cs"/>
          <w:position w:val="4"/>
          <w:rtl/>
        </w:rPr>
        <w:t>-</w:t>
      </w:r>
      <w:r w:rsidR="00F706F7">
        <w:rPr>
          <w:rFonts w:hint="cs"/>
          <w:rtl/>
        </w:rPr>
        <w:t>המשפט נמנע מלבטל את הרשעתו, ולחלופין מערער הוא על חומרת עונשו.</w:t>
      </w:r>
      <w:r w:rsidR="00F706F7">
        <w:rPr>
          <w:color w:val="FFFFFF"/>
          <w:sz w:val="4"/>
          <w:szCs w:val="4"/>
          <w:rtl/>
        </w:rPr>
        <w:t>ב</w:t>
      </w:r>
    </w:p>
    <w:p w:rsidR="00F706F7" w:rsidRDefault="00F706F7">
      <w:pPr>
        <w:pStyle w:val="a"/>
        <w:rPr>
          <w:rFonts w:hint="cs"/>
          <w:rtl/>
        </w:rPr>
      </w:pPr>
      <w:r>
        <w:rPr>
          <w:rFonts w:hint="cs"/>
          <w:rtl/>
        </w:rPr>
        <w:t>2.</w:t>
      </w:r>
      <w:r>
        <w:rPr>
          <w:rFonts w:hint="cs"/>
          <w:rtl/>
        </w:rPr>
        <w:tab/>
        <w:t>הרקע לעריכת ההסדרים הכובלים נעוץ, כפי שקבעה הערכאה הראשונה, בירידה חדה במחירי הצנרת שחלה בסוף שנת 1993 ובמחצית הראשונה של שנת 1994 עקב התחרות החריפה בשוק זה.</w:t>
      </w:r>
      <w:r>
        <w:rPr>
          <w:color w:val="FFFFFF"/>
          <w:sz w:val="4"/>
          <w:szCs w:val="4"/>
          <w:rtl/>
        </w:rPr>
        <w:t>ו</w:t>
      </w:r>
    </w:p>
    <w:p w:rsidR="00F706F7" w:rsidRDefault="00F706F7">
      <w:pPr>
        <w:pStyle w:val="a"/>
        <w:rPr>
          <w:rFonts w:cs="Miriam" w:hint="cs"/>
          <w:szCs w:val="19"/>
          <w:rtl/>
        </w:rPr>
      </w:pPr>
      <w:r>
        <w:rPr>
          <w:rFonts w:cs="Miriam" w:hint="cs"/>
          <w:szCs w:val="19"/>
          <w:rtl/>
        </w:rPr>
        <w:t xml:space="preserve">הרשעתו של הרץ </w:t>
      </w:r>
    </w:p>
    <w:p w:rsidR="00F706F7" w:rsidRDefault="00F706F7">
      <w:pPr>
        <w:pStyle w:val="a"/>
        <w:rPr>
          <w:rFonts w:hint="cs"/>
          <w:rtl/>
        </w:rPr>
      </w:pPr>
      <w:r>
        <w:rPr>
          <w:rFonts w:hint="cs"/>
          <w:rtl/>
        </w:rPr>
        <w:t>3.</w:t>
      </w:r>
      <w:r>
        <w:rPr>
          <w:rFonts w:hint="cs"/>
          <w:rtl/>
        </w:rPr>
        <w:tab/>
        <w:t>הרץ הורשע על</w:t>
      </w:r>
      <w:r>
        <w:rPr>
          <w:rFonts w:hint="cs"/>
          <w:position w:val="4"/>
          <w:rtl/>
        </w:rPr>
        <w:t>-</w:t>
      </w:r>
      <w:r>
        <w:rPr>
          <w:rFonts w:hint="cs"/>
          <w:rtl/>
        </w:rPr>
        <w:t>פי שלושה אישומים בעבירות של הסדרים כובלים. לעתים ההרשעה התייחסה רק לחלק מהעניינים נושא כתב</w:t>
      </w:r>
      <w:r>
        <w:rPr>
          <w:rFonts w:hint="cs"/>
          <w:position w:val="4"/>
          <w:rtl/>
        </w:rPr>
        <w:t>-</w:t>
      </w:r>
      <w:r>
        <w:rPr>
          <w:rFonts w:hint="cs"/>
          <w:rtl/>
        </w:rPr>
        <w:t xml:space="preserve">האישום. אתמקד בעניינים שנקבעו בהם מימצאים לחובתו של הרץ. איני רואה צורך לפרט בכל עניין את זהותם של נאשמים אחרים שהיו מעורבים בפרשיות שבגינן הורשע הרץ. </w:t>
      </w:r>
    </w:p>
    <w:p w:rsidR="00F706F7" w:rsidRDefault="00F706F7">
      <w:pPr>
        <w:pStyle w:val="a"/>
        <w:rPr>
          <w:rFonts w:hint="cs"/>
          <w:rtl/>
        </w:rPr>
      </w:pPr>
      <w:r>
        <w:rPr>
          <w:rFonts w:hint="cs"/>
          <w:rtl/>
        </w:rPr>
        <w:t>4.</w:t>
      </w:r>
      <w:r>
        <w:rPr>
          <w:rFonts w:hint="cs"/>
          <w:rtl/>
        </w:rPr>
        <w:tab/>
        <w:t>סקירת העובדות והקביעות שבפסק</w:t>
      </w:r>
      <w:r>
        <w:rPr>
          <w:rFonts w:hint="cs"/>
          <w:position w:val="4"/>
          <w:rtl/>
        </w:rPr>
        <w:t>-</w:t>
      </w:r>
      <w:r>
        <w:rPr>
          <w:rFonts w:hint="cs"/>
          <w:rtl/>
        </w:rPr>
        <w:t xml:space="preserve">הדין תיעשה בשים לב לעניינים הטעונים הכרעה בערעור. עיון בטענותיו של הרץ (שיפורטו להלן) מעלה כי אין הוא חולק </w:t>
      </w:r>
      <w:r>
        <w:rPr>
          <w:rFonts w:cs="Miriam" w:hint="cs"/>
          <w:b/>
          <w:szCs w:val="19"/>
          <w:rtl/>
        </w:rPr>
        <w:t>שעל דרך העיקרון</w:t>
      </w:r>
      <w:r>
        <w:rPr>
          <w:rFonts w:hint="cs"/>
          <w:rtl/>
        </w:rPr>
        <w:t xml:space="preserve"> הסדרים מן הסוג שהורשע בהם – הסדרים כובלים הם. על</w:t>
      </w:r>
      <w:r>
        <w:rPr>
          <w:rFonts w:hint="cs"/>
          <w:position w:val="4"/>
          <w:rtl/>
        </w:rPr>
        <w:t>-</w:t>
      </w:r>
      <w:r>
        <w:rPr>
          <w:rFonts w:hint="cs"/>
          <w:rtl/>
        </w:rPr>
        <w:t>כן אין צורך, במסגרת הערעור, לחזור לדיון המפורט שבפסק</w:t>
      </w:r>
      <w:r>
        <w:rPr>
          <w:rFonts w:hint="cs"/>
          <w:position w:val="4"/>
          <w:rtl/>
        </w:rPr>
        <w:t>-</w:t>
      </w:r>
      <w:r>
        <w:rPr>
          <w:rFonts w:hint="cs"/>
          <w:rtl/>
        </w:rPr>
        <w:t>דינה של הערכאה הראשונה בשאלת היותם של הסדרים שנעשו הסדרים כובלים. הרוצה להרחיב דעת בעניין זה יפנה לפסק</w:t>
      </w:r>
      <w:r>
        <w:rPr>
          <w:rFonts w:hint="cs"/>
          <w:position w:val="4"/>
          <w:rtl/>
        </w:rPr>
        <w:t>-</w:t>
      </w:r>
      <w:r>
        <w:rPr>
          <w:rFonts w:hint="cs"/>
          <w:rtl/>
        </w:rPr>
        <w:t>דינה של הערכאה הראשונה.</w:t>
      </w:r>
      <w:r>
        <w:rPr>
          <w:color w:val="FFFFFF"/>
          <w:sz w:val="4"/>
          <w:szCs w:val="4"/>
          <w:rtl/>
        </w:rPr>
        <w:t>נ</w:t>
      </w:r>
    </w:p>
    <w:p w:rsidR="00F706F7" w:rsidRDefault="00F706F7">
      <w:pPr>
        <w:pStyle w:val="a"/>
        <w:rPr>
          <w:rFonts w:hint="cs"/>
          <w:rtl/>
        </w:rPr>
      </w:pPr>
      <w:r>
        <w:rPr>
          <w:rFonts w:cs="Miriam" w:hint="cs"/>
          <w:b/>
          <w:sz w:val="28"/>
          <w:szCs w:val="19"/>
          <w:rtl/>
        </w:rPr>
        <w:t>האישום הראשון</w:t>
      </w:r>
    </w:p>
    <w:p w:rsidR="00F706F7" w:rsidRDefault="00F706F7">
      <w:pPr>
        <w:pStyle w:val="a"/>
        <w:rPr>
          <w:rFonts w:hint="cs"/>
          <w:rtl/>
        </w:rPr>
      </w:pPr>
      <w:r>
        <w:rPr>
          <w:rFonts w:hint="cs"/>
          <w:rtl/>
        </w:rPr>
        <w:t>5.</w:t>
      </w:r>
      <w:r>
        <w:rPr>
          <w:rFonts w:hint="cs"/>
          <w:rtl/>
        </w:rPr>
        <w:tab/>
        <w:t xml:space="preserve">באישום הראשון הורשע הרץ בעבירה של הסדר כובל שעשה עם אחרים בעניין </w:t>
      </w:r>
      <w:r>
        <w:rPr>
          <w:rFonts w:cs="Miriam" w:hint="cs"/>
          <w:b/>
          <w:szCs w:val="19"/>
          <w:rtl/>
        </w:rPr>
        <w:t>המחירים</w:t>
      </w:r>
      <w:r>
        <w:rPr>
          <w:rFonts w:hint="cs"/>
          <w:rtl/>
        </w:rPr>
        <w:t xml:space="preserve"> בענף הצנרת. הרץ יזם מפגשים עם נציגי נאשמים שונים ועם יצרני צנרת נוספים ודן ברעיון להקים חברת שיווק משותפת, חברת אהליך יעקב שמה. מטרת ההקמה של חברת השיווק המשותפת הייתה להעלות את מחירי הצנרת בשוק. הרץ הציע ליצרנים השונים שנפגש עמם שימכרו לו את כל תוצרתם, וזאת במחיר גבוה מהמחיר שהיה נהוג בשוק באותה תקופה. בין נאשמים שונים הועברו טיוטות של מחירונים, ולאחר מכן הוציאה חברת אהליך יעקב, ביום 1.7.1994, מחירון חדש. שיעור ההנחות המרבי שנתנה אהליך יעקב ללקוחות ביולי 1994 עמד על 33% מהמחירון. המחיר שבו רכשה החברה את פריטי הצנרת מהיצרנים נקבע על</w:t>
      </w:r>
      <w:r>
        <w:rPr>
          <w:rFonts w:hint="cs"/>
          <w:position w:val="4"/>
          <w:rtl/>
        </w:rPr>
        <w:t>-</w:t>
      </w:r>
      <w:r>
        <w:rPr>
          <w:rFonts w:hint="cs"/>
          <w:rtl/>
        </w:rPr>
        <w:t xml:space="preserve">פי שיעור הנחה של 46% מאותו מחירון. בעקבות הנהגת המחירון מיום 1.7.1994 אכן חלה בן יום, כצפוי, עלייה חדה במחירי הצנרת בשוק. שיעור העלייה היה עד 120%. </w:t>
      </w:r>
    </w:p>
    <w:p w:rsidR="00F706F7" w:rsidRDefault="00F82D59">
      <w:pPr>
        <w:pStyle w:val="a"/>
        <w:rPr>
          <w:rFonts w:hint="cs"/>
          <w:rtl/>
        </w:rPr>
      </w:pPr>
      <w:r>
        <w:rPr>
          <w:rtl/>
        </w:rPr>
        <w:br w:type="page"/>
      </w:r>
      <w:r w:rsidR="00F706F7">
        <w:rPr>
          <w:rFonts w:hint="cs"/>
          <w:rtl/>
        </w:rPr>
        <w:t>6.</w:t>
      </w:r>
      <w:r w:rsidR="00F706F7">
        <w:rPr>
          <w:rFonts w:hint="cs"/>
          <w:rtl/>
        </w:rPr>
        <w:tab/>
        <w:t>בית</w:t>
      </w:r>
      <w:r w:rsidR="00F706F7">
        <w:rPr>
          <w:rFonts w:hint="cs"/>
          <w:position w:val="4"/>
          <w:rtl/>
        </w:rPr>
        <w:t>-</w:t>
      </w:r>
      <w:r w:rsidR="00F706F7">
        <w:rPr>
          <w:rFonts w:hint="cs"/>
          <w:rtl/>
        </w:rPr>
        <w:t>המשפט דחה בשתי ידיים ועל יסוד ראיות רבות, את טענתו של הרץ שלפיה מגעים שהיו לו עם יצרנים שונים היו בגדר גישושים בלבד ולא הגיעו לכלל הסכמה. בית</w:t>
      </w:r>
      <w:r w:rsidR="00F706F7">
        <w:rPr>
          <w:rFonts w:hint="cs"/>
          <w:position w:val="4"/>
          <w:rtl/>
        </w:rPr>
        <w:t>-</w:t>
      </w:r>
      <w:r w:rsidR="00F706F7">
        <w:rPr>
          <w:rFonts w:hint="cs"/>
          <w:rtl/>
        </w:rPr>
        <w:t>המשפט עמד על כך שההסכמה בוצעה הלכה למעשה: הרץ הקים את חברת אהליך יעקב. לקראת סוף חודש יוני 1994 הוא שכר מוסך לצורך פעילותה של החברה. נקבע שהרץ היה זה שקבע את המחירון מיום 1.7.1994 והפיצו.</w:t>
      </w:r>
      <w:r w:rsidR="00F706F7">
        <w:rPr>
          <w:color w:val="FFFFFF"/>
          <w:sz w:val="4"/>
          <w:szCs w:val="4"/>
          <w:rtl/>
        </w:rPr>
        <w:t>ב</w:t>
      </w:r>
    </w:p>
    <w:p w:rsidR="00F706F7" w:rsidRDefault="00F706F7">
      <w:pPr>
        <w:pStyle w:val="a"/>
        <w:rPr>
          <w:rFonts w:hint="cs"/>
          <w:rtl/>
        </w:rPr>
      </w:pPr>
      <w:r>
        <w:rPr>
          <w:rFonts w:hint="cs"/>
          <w:rtl/>
        </w:rPr>
        <w:t>7.</w:t>
      </w:r>
      <w:r>
        <w:rPr>
          <w:rFonts w:hint="cs"/>
          <w:rtl/>
        </w:rPr>
        <w:tab/>
        <w:t>בית</w:t>
      </w:r>
      <w:r>
        <w:rPr>
          <w:rFonts w:hint="cs"/>
          <w:position w:val="4"/>
          <w:rtl/>
        </w:rPr>
        <w:t>-</w:t>
      </w:r>
      <w:r>
        <w:rPr>
          <w:rFonts w:hint="cs"/>
          <w:rtl/>
        </w:rPr>
        <w:t xml:space="preserve">המשפט הרשיע את הרץ (ונאשמים אחרים) בעבירה נושא האישום הראשון בכך שהיו צד להסדר כובל לפי </w:t>
      </w:r>
      <w:hyperlink r:id="rId31" w:history="1">
        <w:r w:rsidR="005673AB" w:rsidRPr="005673AB">
          <w:rPr>
            <w:color w:val="0000FF"/>
            <w:u w:val="single"/>
            <w:rtl/>
          </w:rPr>
          <w:t>סעיף 2(א)</w:t>
        </w:r>
      </w:hyperlink>
      <w:r>
        <w:rPr>
          <w:rFonts w:hint="cs"/>
          <w:rtl/>
        </w:rPr>
        <w:t xml:space="preserve"> לחוק וכן לפי </w:t>
      </w:r>
      <w:hyperlink r:id="rId32" w:history="1">
        <w:r w:rsidR="005673AB" w:rsidRPr="005673AB">
          <w:rPr>
            <w:color w:val="0000FF"/>
            <w:u w:val="single"/>
            <w:rtl/>
          </w:rPr>
          <w:t>סעיף 2(ב)(1)</w:t>
        </w:r>
      </w:hyperlink>
      <w:r>
        <w:rPr>
          <w:rFonts w:hint="cs"/>
          <w:rtl/>
        </w:rPr>
        <w:t xml:space="preserve"> לחוק (שבו נוגעת הכבילה למחיר שיידרש, שיוצע או שישולם), בצירוף </w:t>
      </w:r>
      <w:hyperlink r:id="rId33" w:history="1">
        <w:r w:rsidR="005673AB" w:rsidRPr="005673AB">
          <w:rPr>
            <w:color w:val="0000FF"/>
            <w:u w:val="single"/>
            <w:rtl/>
          </w:rPr>
          <w:t>סעיף 4</w:t>
        </w:r>
      </w:hyperlink>
      <w:r>
        <w:rPr>
          <w:rFonts w:hint="cs"/>
          <w:rtl/>
        </w:rPr>
        <w:t xml:space="preserve"> </w:t>
      </w:r>
      <w:hyperlink r:id="rId34" w:history="1">
        <w:r w:rsidR="005673AB" w:rsidRPr="005673AB">
          <w:rPr>
            <w:color w:val="0000FF"/>
            <w:u w:val="single"/>
            <w:rtl/>
          </w:rPr>
          <w:t>וסעיף 47(א)(1)</w:t>
        </w:r>
      </w:hyperlink>
      <w:r>
        <w:rPr>
          <w:rFonts w:hint="cs"/>
          <w:rtl/>
        </w:rPr>
        <w:t xml:space="preserve"> לחוק. בית</w:t>
      </w:r>
      <w:r>
        <w:rPr>
          <w:rFonts w:hint="cs"/>
          <w:position w:val="4"/>
          <w:rtl/>
        </w:rPr>
        <w:t>-</w:t>
      </w:r>
      <w:r>
        <w:rPr>
          <w:rFonts w:hint="cs"/>
          <w:rtl/>
        </w:rPr>
        <w:t xml:space="preserve">המשפט </w:t>
      </w:r>
      <w:r>
        <w:rPr>
          <w:rFonts w:cs="Miriam" w:hint="cs"/>
          <w:b/>
          <w:szCs w:val="19"/>
          <w:rtl/>
        </w:rPr>
        <w:t>נמנע</w:t>
      </w:r>
      <w:r>
        <w:rPr>
          <w:rFonts w:hint="cs"/>
          <w:rtl/>
        </w:rPr>
        <w:t xml:space="preserve"> מהרשעה לפי </w:t>
      </w:r>
      <w:hyperlink r:id="rId35" w:history="1">
        <w:r w:rsidR="005673AB" w:rsidRPr="005673AB">
          <w:rPr>
            <w:color w:val="0000FF"/>
            <w:u w:val="single"/>
            <w:rtl/>
          </w:rPr>
          <w:t>סעיף 48</w:t>
        </w:r>
      </w:hyperlink>
      <w:r>
        <w:rPr>
          <w:rFonts w:hint="cs"/>
          <w:rtl/>
        </w:rPr>
        <w:t xml:space="preserve"> לחוק. בלשון לא טכנית: הרץ הורשע באישום האמור בגין אחריותו </w:t>
      </w:r>
      <w:r>
        <w:rPr>
          <w:rFonts w:cs="Miriam" w:hint="cs"/>
          <w:b/>
          <w:szCs w:val="19"/>
          <w:rtl/>
        </w:rPr>
        <w:t>האישית</w:t>
      </w:r>
      <w:r>
        <w:rPr>
          <w:rFonts w:hint="cs"/>
          <w:rtl/>
        </w:rPr>
        <w:t xml:space="preserve"> ולא כנגזרת מאחריותו כמנהל באהליך יעקב. </w:t>
      </w:r>
    </w:p>
    <w:p w:rsidR="00F706F7" w:rsidRDefault="00F706F7">
      <w:pPr>
        <w:pStyle w:val="a"/>
        <w:rPr>
          <w:rFonts w:hint="cs"/>
          <w:rtl/>
        </w:rPr>
      </w:pPr>
      <w:r>
        <w:rPr>
          <w:rFonts w:cs="Miriam" w:hint="cs"/>
          <w:b/>
          <w:sz w:val="28"/>
          <w:szCs w:val="19"/>
          <w:rtl/>
        </w:rPr>
        <w:t>האישום השני</w:t>
      </w:r>
    </w:p>
    <w:p w:rsidR="00F706F7" w:rsidRDefault="00F706F7">
      <w:pPr>
        <w:pStyle w:val="a"/>
        <w:rPr>
          <w:rFonts w:hint="cs"/>
          <w:rtl/>
        </w:rPr>
      </w:pPr>
      <w:r>
        <w:rPr>
          <w:rFonts w:hint="cs"/>
          <w:rtl/>
        </w:rPr>
        <w:t>8.</w:t>
      </w:r>
      <w:r>
        <w:rPr>
          <w:rFonts w:hint="cs"/>
          <w:rtl/>
        </w:rPr>
        <w:tab/>
        <w:t>הרשעתו של הרץ באישום השני נסבה על הסדר כובל שעשה עם חברת סמי פלסט ומנהלה אבי סממה (נאשמים 12 ו</w:t>
      </w:r>
      <w:r>
        <w:rPr>
          <w:rFonts w:hint="cs"/>
          <w:position w:val="4"/>
          <w:rtl/>
        </w:rPr>
        <w:t>-</w:t>
      </w:r>
      <w:r>
        <w:rPr>
          <w:rFonts w:hint="cs"/>
          <w:rtl/>
        </w:rPr>
        <w:t>13) בחודשים מארס עד יוני 1994. הכבילות נגעו לחלוקת השוק לפי האנשים שעמם יעסקו הנאשמים 12 ו</w:t>
      </w:r>
      <w:r>
        <w:rPr>
          <w:rFonts w:hint="cs"/>
          <w:position w:val="4"/>
          <w:rtl/>
        </w:rPr>
        <w:t>-</w:t>
      </w:r>
      <w:r>
        <w:rPr>
          <w:rFonts w:hint="cs"/>
          <w:rtl/>
        </w:rPr>
        <w:t xml:space="preserve">13, ולכמות הנכסים בעסקם. כבילות שכאלו הן כבילות אסורות, כאמור </w:t>
      </w:r>
      <w:hyperlink r:id="rId36" w:history="1">
        <w:r w:rsidR="005673AB" w:rsidRPr="005673AB">
          <w:rPr>
            <w:color w:val="0000FF"/>
            <w:u w:val="single"/>
            <w:rtl/>
          </w:rPr>
          <w:t>בסעיפים 2(ב)(3)</w:t>
        </w:r>
      </w:hyperlink>
      <w:r>
        <w:rPr>
          <w:rFonts w:hint="cs"/>
          <w:rtl/>
        </w:rPr>
        <w:t xml:space="preserve"> ו</w:t>
      </w:r>
      <w:r>
        <w:rPr>
          <w:rFonts w:hint="cs"/>
          <w:position w:val="4"/>
          <w:rtl/>
        </w:rPr>
        <w:t>-</w:t>
      </w:r>
      <w:hyperlink r:id="rId37" w:history="1">
        <w:r w:rsidR="005673AB" w:rsidRPr="005673AB">
          <w:rPr>
            <w:color w:val="0000FF"/>
            <w:u w:val="single"/>
            <w:rtl/>
          </w:rPr>
          <w:t>2(ב)(4)</w:t>
        </w:r>
      </w:hyperlink>
      <w:r>
        <w:rPr>
          <w:rFonts w:hint="cs"/>
          <w:rtl/>
        </w:rPr>
        <w:t xml:space="preserve"> לחוק. על</w:t>
      </w:r>
      <w:r>
        <w:rPr>
          <w:rFonts w:hint="cs"/>
          <w:position w:val="4"/>
          <w:rtl/>
        </w:rPr>
        <w:t>-</w:t>
      </w:r>
      <w:r>
        <w:rPr>
          <w:rFonts w:hint="cs"/>
          <w:rtl/>
        </w:rPr>
        <w:t>פי קביעותיה של הערכאה הראשונה, התחייב סממה בהסדר שסמי פלסט תמכור את תוצרתה לאהליך יעקב בלבד, ואולם אם יוצע לה מחיר גבוה מ</w:t>
      </w:r>
      <w:r>
        <w:rPr>
          <w:rFonts w:hint="cs"/>
          <w:position w:val="4"/>
          <w:rtl/>
        </w:rPr>
        <w:t>-</w:t>
      </w:r>
      <w:r>
        <w:rPr>
          <w:rFonts w:hint="cs"/>
          <w:rtl/>
        </w:rPr>
        <w:t>54% מהמחירון נושא האישום הראשון, תהיה סמי פלסט חופשית לספק מתוצרתה למי שיציע לה מחיר גבוה יותר. בית</w:t>
      </w:r>
      <w:r>
        <w:rPr>
          <w:rFonts w:hint="cs"/>
          <w:position w:val="4"/>
          <w:rtl/>
        </w:rPr>
        <w:t>-</w:t>
      </w:r>
      <w:r>
        <w:rPr>
          <w:rFonts w:hint="cs"/>
          <w:rtl/>
        </w:rPr>
        <w:t xml:space="preserve">המשפט קבע כי גם הסדר בלעדיות </w:t>
      </w:r>
      <w:r>
        <w:rPr>
          <w:rFonts w:cs="Miriam" w:hint="cs"/>
          <w:b/>
          <w:szCs w:val="19"/>
          <w:rtl/>
        </w:rPr>
        <w:t>חלקי</w:t>
      </w:r>
      <w:r>
        <w:rPr>
          <w:rFonts w:hint="cs"/>
          <w:rtl/>
        </w:rPr>
        <w:t xml:space="preserve"> עשוי ליפול בגדרו של </w:t>
      </w:r>
      <w:hyperlink r:id="rId38" w:history="1">
        <w:r w:rsidR="005673AB" w:rsidRPr="005673AB">
          <w:rPr>
            <w:color w:val="0000FF"/>
            <w:u w:val="single"/>
            <w:rtl/>
          </w:rPr>
          <w:t>סעיף 2(ב)(3)</w:t>
        </w:r>
      </w:hyperlink>
      <w:r>
        <w:rPr>
          <w:rFonts w:hint="cs"/>
          <w:rtl/>
        </w:rPr>
        <w:t xml:space="preserve"> לחוק. בית</w:t>
      </w:r>
      <w:r>
        <w:rPr>
          <w:rFonts w:hint="cs"/>
          <w:position w:val="4"/>
          <w:rtl/>
        </w:rPr>
        <w:t>-</w:t>
      </w:r>
      <w:r>
        <w:rPr>
          <w:rFonts w:hint="cs"/>
          <w:rtl/>
        </w:rPr>
        <w:t>המשפט הדגיש כי מהבחינה המעשית המחיר שהוצע לסמי פלסט על</w:t>
      </w:r>
      <w:r>
        <w:rPr>
          <w:rFonts w:hint="cs"/>
          <w:position w:val="4"/>
          <w:rtl/>
        </w:rPr>
        <w:t>-</w:t>
      </w:r>
      <w:r>
        <w:rPr>
          <w:rFonts w:hint="cs"/>
          <w:rtl/>
        </w:rPr>
        <w:t>ידי אהליך יעקב, מחיר שבוסס על ההתאגדות הקרטליסטית נושא האישום הראשון, היה גבוה במידה ניכרת ממחיר השוק. על</w:t>
      </w:r>
      <w:r>
        <w:rPr>
          <w:rFonts w:hint="cs"/>
          <w:position w:val="4"/>
          <w:rtl/>
        </w:rPr>
        <w:t>-</w:t>
      </w:r>
      <w:r>
        <w:rPr>
          <w:rFonts w:hint="cs"/>
          <w:rtl/>
        </w:rPr>
        <w:t>כן למעשה היה זה הסדר של בלעדיות מלאה, שלפיו הגבילו עצמם הנאשמים 12 ו</w:t>
      </w:r>
      <w:r>
        <w:rPr>
          <w:rFonts w:hint="cs"/>
          <w:position w:val="4"/>
          <w:rtl/>
        </w:rPr>
        <w:t>-</w:t>
      </w:r>
      <w:r>
        <w:rPr>
          <w:rFonts w:hint="cs"/>
          <w:rtl/>
        </w:rPr>
        <w:t xml:space="preserve">13 למכור את הצנרת של סמי פלסט לאהליך יעקב בלבד. הכבילה השנייה, נושא האישום השני, נוגעת ל"כמות הנכסים או השירותים שבעסק" (כאמור </w:t>
      </w:r>
      <w:hyperlink r:id="rId39" w:history="1">
        <w:r w:rsidR="005673AB" w:rsidRPr="005673AB">
          <w:rPr>
            <w:color w:val="0000FF"/>
            <w:u w:val="single"/>
            <w:rtl/>
          </w:rPr>
          <w:t>בסעיף 2(ב)(4)</w:t>
        </w:r>
      </w:hyperlink>
      <w:r>
        <w:rPr>
          <w:rFonts w:hint="cs"/>
          <w:rtl/>
        </w:rPr>
        <w:t xml:space="preserve"> לחוק). בין הרץ לסממה הוסכם כי אהליך יעקב תרכוש מסמי פלסט כמות מינימלית של 40 טון לחודש. הלכה למעשה, ביולי ואוגוסט 1984 מכרה סמי פלסט את מלוא תוצרתה לאהליך יעקב, למעט ביצוע התחייבויות קודמות בחודש יולי, התחייבויות שעליהן חלו המחירים הישנים.</w:t>
      </w:r>
      <w:r>
        <w:rPr>
          <w:color w:val="FFFFFF"/>
          <w:sz w:val="4"/>
          <w:szCs w:val="4"/>
          <w:rtl/>
        </w:rPr>
        <w:t>ו</w:t>
      </w:r>
    </w:p>
    <w:p w:rsidR="00F706F7" w:rsidRDefault="00F82D59">
      <w:pPr>
        <w:pStyle w:val="a"/>
        <w:rPr>
          <w:rFonts w:hint="cs"/>
          <w:rtl/>
        </w:rPr>
      </w:pPr>
      <w:r>
        <w:rPr>
          <w:rtl/>
        </w:rPr>
        <w:br w:type="page"/>
      </w:r>
      <w:r w:rsidR="00F706F7">
        <w:rPr>
          <w:rFonts w:hint="cs"/>
          <w:rtl/>
        </w:rPr>
        <w:t xml:space="preserve">הרץ הורשע אפוא, לעניין האישום השני, בכך שהיה צד להסדרים כובלים הנוגעים להגבלתה של סמי פלסט, בחלוקת שוק לפי האנשים שעמם תעסוק סמי פלסט ולהגבלתה בעניין כמות הנכסים שבעיסקה, בניגוד לסעיפים </w:t>
      </w:r>
      <w:hyperlink r:id="rId40" w:history="1">
        <w:r w:rsidR="005673AB" w:rsidRPr="005673AB">
          <w:rPr>
            <w:color w:val="0000FF"/>
            <w:u w:val="single"/>
            <w:rtl/>
          </w:rPr>
          <w:t>2(א)</w:t>
        </w:r>
      </w:hyperlink>
      <w:r w:rsidR="00F706F7">
        <w:rPr>
          <w:rFonts w:hint="cs"/>
          <w:rtl/>
        </w:rPr>
        <w:t xml:space="preserve">, </w:t>
      </w:r>
      <w:hyperlink r:id="rId41" w:history="1">
        <w:r w:rsidR="005673AB" w:rsidRPr="005673AB">
          <w:rPr>
            <w:color w:val="0000FF"/>
            <w:u w:val="single"/>
            <w:rtl/>
          </w:rPr>
          <w:t>2(ב)(3)</w:t>
        </w:r>
      </w:hyperlink>
      <w:r w:rsidR="00F706F7">
        <w:rPr>
          <w:rFonts w:hint="cs"/>
          <w:rtl/>
        </w:rPr>
        <w:t xml:space="preserve"> ו</w:t>
      </w:r>
      <w:r w:rsidR="00F706F7">
        <w:rPr>
          <w:rFonts w:hint="cs"/>
          <w:position w:val="4"/>
          <w:rtl/>
        </w:rPr>
        <w:t>-</w:t>
      </w:r>
      <w:hyperlink r:id="rId42" w:history="1">
        <w:r w:rsidR="005673AB" w:rsidRPr="005673AB">
          <w:rPr>
            <w:color w:val="0000FF"/>
            <w:u w:val="single"/>
            <w:rtl/>
          </w:rPr>
          <w:t>2(ב)(4)</w:t>
        </w:r>
      </w:hyperlink>
      <w:r w:rsidR="00F706F7">
        <w:rPr>
          <w:rFonts w:hint="cs"/>
          <w:rtl/>
        </w:rPr>
        <w:t xml:space="preserve"> לחוק בצירוף סעיפים </w:t>
      </w:r>
      <w:hyperlink r:id="rId43" w:history="1">
        <w:r w:rsidR="005673AB" w:rsidRPr="005673AB">
          <w:rPr>
            <w:color w:val="0000FF"/>
            <w:u w:val="single"/>
            <w:rtl/>
          </w:rPr>
          <w:t>4</w:t>
        </w:r>
      </w:hyperlink>
      <w:r w:rsidR="00F706F7">
        <w:rPr>
          <w:rFonts w:hint="cs"/>
          <w:rtl/>
        </w:rPr>
        <w:t xml:space="preserve"> ו</w:t>
      </w:r>
      <w:r w:rsidR="00F706F7">
        <w:rPr>
          <w:rFonts w:hint="cs"/>
          <w:position w:val="4"/>
          <w:rtl/>
        </w:rPr>
        <w:t>-</w:t>
      </w:r>
      <w:hyperlink r:id="rId44" w:history="1">
        <w:r w:rsidR="005673AB" w:rsidRPr="005673AB">
          <w:rPr>
            <w:color w:val="0000FF"/>
            <w:u w:val="single"/>
            <w:rtl/>
          </w:rPr>
          <w:t>47(א)(1)</w:t>
        </w:r>
      </w:hyperlink>
      <w:r w:rsidR="00F706F7">
        <w:rPr>
          <w:rFonts w:hint="cs"/>
          <w:rtl/>
        </w:rPr>
        <w:t xml:space="preserve"> לחוק. גם כאן אחריותו של הרץ נקבעה כאחריות אישית.</w:t>
      </w:r>
    </w:p>
    <w:p w:rsidR="00F706F7" w:rsidRDefault="00F706F7">
      <w:pPr>
        <w:pStyle w:val="a"/>
        <w:rPr>
          <w:rFonts w:hint="cs"/>
          <w:rtl/>
        </w:rPr>
      </w:pPr>
      <w:r>
        <w:rPr>
          <w:rFonts w:cs="Miriam" w:hint="cs"/>
          <w:b/>
          <w:sz w:val="28"/>
          <w:szCs w:val="19"/>
          <w:rtl/>
        </w:rPr>
        <w:t>האישום השלישי</w:t>
      </w:r>
    </w:p>
    <w:p w:rsidR="00F706F7" w:rsidRDefault="00F706F7">
      <w:pPr>
        <w:pStyle w:val="a"/>
        <w:rPr>
          <w:rFonts w:hint="cs"/>
          <w:rtl/>
        </w:rPr>
      </w:pPr>
      <w:r>
        <w:rPr>
          <w:rFonts w:hint="cs"/>
          <w:rtl/>
        </w:rPr>
        <w:t>9.</w:t>
      </w:r>
      <w:r>
        <w:rPr>
          <w:rFonts w:hint="cs"/>
          <w:rtl/>
        </w:rPr>
        <w:tab/>
        <w:t>על</w:t>
      </w:r>
      <w:r>
        <w:rPr>
          <w:rFonts w:hint="cs"/>
          <w:position w:val="4"/>
          <w:rtl/>
        </w:rPr>
        <w:t>-</w:t>
      </w:r>
      <w:r>
        <w:rPr>
          <w:rFonts w:hint="cs"/>
          <w:rtl/>
        </w:rPr>
        <w:t>פי קביעותיו של בית</w:t>
      </w:r>
      <w:r>
        <w:rPr>
          <w:rFonts w:hint="cs"/>
          <w:position w:val="4"/>
          <w:rtl/>
        </w:rPr>
        <w:t>-</w:t>
      </w:r>
      <w:r>
        <w:rPr>
          <w:rFonts w:hint="cs"/>
          <w:rtl/>
        </w:rPr>
        <w:t xml:space="preserve">המשפט, הציע הרץ לבולר (הנאשם 16) כי חברת מפלס (הנאשמת 15 שבולר היה מנהלה) תצטרף לשיווק המשותף באמצעות אהליך יעקב. להצעה זו לא הסכים בולר, אך הוא הסכים לאמץ את המחירון המשותף ואת שיעורי ההנחות הקבועים בו. על יסוד עובדות אלה הורשעו הרץ (ואחרים) בעבירה של היותם צד להסדר כובל בניגוד לסעיפים </w:t>
      </w:r>
      <w:hyperlink r:id="rId45" w:history="1">
        <w:r w:rsidR="005673AB" w:rsidRPr="005673AB">
          <w:rPr>
            <w:color w:val="0000FF"/>
            <w:u w:val="single"/>
            <w:rtl/>
          </w:rPr>
          <w:t>2(א)</w:t>
        </w:r>
      </w:hyperlink>
      <w:r>
        <w:rPr>
          <w:rFonts w:hint="cs"/>
          <w:rtl/>
        </w:rPr>
        <w:t xml:space="preserve">, </w:t>
      </w:r>
      <w:hyperlink r:id="rId46" w:history="1">
        <w:r w:rsidR="005673AB" w:rsidRPr="005673AB">
          <w:rPr>
            <w:color w:val="0000FF"/>
            <w:u w:val="single"/>
            <w:rtl/>
          </w:rPr>
          <w:t>2(ב)(1)</w:t>
        </w:r>
      </w:hyperlink>
      <w:r>
        <w:rPr>
          <w:rFonts w:hint="cs"/>
          <w:rtl/>
        </w:rPr>
        <w:t xml:space="preserve"> (שעניינו כבילה לעניין המחיר שיידרש, שיוצע או שישולם) עם סעיפים </w:t>
      </w:r>
      <w:hyperlink r:id="rId47" w:history="1">
        <w:r w:rsidR="005673AB" w:rsidRPr="005673AB">
          <w:rPr>
            <w:color w:val="0000FF"/>
            <w:u w:val="single"/>
            <w:rtl/>
          </w:rPr>
          <w:t>4</w:t>
        </w:r>
      </w:hyperlink>
      <w:r>
        <w:rPr>
          <w:rFonts w:hint="cs"/>
          <w:rtl/>
        </w:rPr>
        <w:t xml:space="preserve"> ו</w:t>
      </w:r>
      <w:r>
        <w:rPr>
          <w:rFonts w:hint="cs"/>
          <w:position w:val="4"/>
          <w:rtl/>
        </w:rPr>
        <w:t>-</w:t>
      </w:r>
      <w:hyperlink r:id="rId48" w:history="1">
        <w:r w:rsidR="005673AB" w:rsidRPr="005673AB">
          <w:rPr>
            <w:color w:val="0000FF"/>
            <w:u w:val="single"/>
            <w:rtl/>
          </w:rPr>
          <w:t>47(א)(1)</w:t>
        </w:r>
      </w:hyperlink>
      <w:r>
        <w:rPr>
          <w:rFonts w:hint="cs"/>
          <w:rtl/>
        </w:rPr>
        <w:t xml:space="preserve"> לחוק. גם כאן מדובר באחריות אישית של הרץ.</w:t>
      </w:r>
    </w:p>
    <w:p w:rsidR="00F706F7" w:rsidRDefault="00F706F7">
      <w:pPr>
        <w:pStyle w:val="a"/>
        <w:rPr>
          <w:rFonts w:hint="cs"/>
          <w:rtl/>
        </w:rPr>
      </w:pPr>
      <w:r>
        <w:rPr>
          <w:rFonts w:cs="Miriam" w:hint="cs"/>
          <w:b/>
          <w:sz w:val="28"/>
          <w:szCs w:val="19"/>
          <w:rtl/>
        </w:rPr>
        <w:t xml:space="preserve">הרשעתם של מצרפלס ואביטל </w:t>
      </w:r>
      <w:r>
        <w:rPr>
          <w:rFonts w:hint="eastAsia"/>
          <w:rtl/>
        </w:rPr>
        <w:t>–</w:t>
      </w:r>
      <w:r>
        <w:rPr>
          <w:rFonts w:cs="Miriam" w:hint="cs"/>
          <w:b/>
          <w:sz w:val="28"/>
          <w:szCs w:val="19"/>
          <w:rtl/>
        </w:rPr>
        <w:t xml:space="preserve"> האישום הרביעי</w:t>
      </w:r>
    </w:p>
    <w:p w:rsidR="00F706F7" w:rsidRDefault="00F706F7">
      <w:pPr>
        <w:pStyle w:val="a"/>
        <w:rPr>
          <w:rFonts w:hint="cs"/>
          <w:rtl/>
        </w:rPr>
      </w:pPr>
      <w:r>
        <w:rPr>
          <w:rFonts w:hint="cs"/>
          <w:rtl/>
        </w:rPr>
        <w:t>10.</w:t>
      </w:r>
      <w:r>
        <w:rPr>
          <w:rFonts w:hint="cs"/>
          <w:rtl/>
        </w:rPr>
        <w:tab/>
        <w:t>על</w:t>
      </w:r>
      <w:r>
        <w:rPr>
          <w:rFonts w:hint="cs"/>
          <w:position w:val="4"/>
          <w:rtl/>
        </w:rPr>
        <w:t>-</w:t>
      </w:r>
      <w:r>
        <w:rPr>
          <w:rFonts w:hint="cs"/>
          <w:rtl/>
        </w:rPr>
        <w:t>פי קביעותיו של בית</w:t>
      </w:r>
      <w:r>
        <w:rPr>
          <w:rFonts w:hint="cs"/>
          <w:position w:val="4"/>
          <w:rtl/>
        </w:rPr>
        <w:t>-</w:t>
      </w:r>
      <w:r>
        <w:rPr>
          <w:rFonts w:hint="cs"/>
          <w:rtl/>
        </w:rPr>
        <w:t xml:space="preserve">המשפט, הנאשם 9 </w:t>
      </w:r>
      <w:r>
        <w:rPr>
          <w:rFonts w:hint="eastAsia"/>
          <w:rtl/>
        </w:rPr>
        <w:t>–</w:t>
      </w:r>
      <w:r>
        <w:rPr>
          <w:rFonts w:hint="cs"/>
          <w:rtl/>
        </w:rPr>
        <w:t xml:space="preserve"> פחימה שמו </w:t>
      </w:r>
      <w:r>
        <w:rPr>
          <w:rFonts w:hint="eastAsia"/>
          <w:rtl/>
        </w:rPr>
        <w:t>–</w:t>
      </w:r>
      <w:r>
        <w:rPr>
          <w:rFonts w:hint="cs"/>
          <w:rtl/>
        </w:rPr>
        <w:t xml:space="preserve"> הציג לאביטל את המחירון המוסכם, נושא האישום הראשון, כפרי הסכמה בין יצרנים רבים. עוד הציג לו פחימה שמטרת ההסכם היא להעלות באופן ניכר את רמת מחירי הצנרת בשוק על</w:t>
      </w:r>
      <w:r>
        <w:rPr>
          <w:rFonts w:hint="cs"/>
          <w:position w:val="4"/>
          <w:rtl/>
        </w:rPr>
        <w:t>-</w:t>
      </w:r>
      <w:r>
        <w:rPr>
          <w:rFonts w:hint="cs"/>
          <w:rtl/>
        </w:rPr>
        <w:t>ידי צירוף מספר רב של יצרנים. בית</w:t>
      </w:r>
      <w:r>
        <w:rPr>
          <w:rFonts w:hint="cs"/>
          <w:position w:val="4"/>
          <w:rtl/>
        </w:rPr>
        <w:t>-</w:t>
      </w:r>
      <w:r>
        <w:rPr>
          <w:rFonts w:hint="cs"/>
          <w:rtl/>
        </w:rPr>
        <w:t>המשפט קבע, על יסוד הודעתו של אביטל בפני חוקרי רשות ההגבלים העסקיים, שאביטל נפגש עם פחימה והסכים עמו על מכירת מוצרי מצרפלס לפי מחירון אחיד ועל</w:t>
      </w:r>
      <w:r>
        <w:rPr>
          <w:rFonts w:hint="cs"/>
          <w:position w:val="4"/>
          <w:rtl/>
        </w:rPr>
        <w:t>-</w:t>
      </w:r>
      <w:r>
        <w:rPr>
          <w:rFonts w:hint="cs"/>
          <w:rtl/>
        </w:rPr>
        <w:t>פי רמת הנחות בסיסית. בלשונו של אביטל:</w:t>
      </w:r>
    </w:p>
    <w:p w:rsidR="00F82D59" w:rsidRDefault="00F706F7">
      <w:pPr>
        <w:pStyle w:val="a4"/>
        <w:rPr>
          <w:rFonts w:cs="Miriam"/>
          <w:b/>
          <w:szCs w:val="19"/>
          <w:rtl/>
        </w:rPr>
      </w:pPr>
      <w:r>
        <w:rPr>
          <w:rFonts w:hint="cs"/>
          <w:rtl/>
        </w:rPr>
        <w:t xml:space="preserve">"...דובר (עם פחימה) על כך שמצרפלס לא תנצל את הקטנת התחרות ביניהם כדי להשתלט על השוק. בנוסף לכך, ולאחר שהיה ברור למיטב הבנתי שמספר חברות יפעלו במסגרת שיווק משותפת, ומצרפלס לא תשתתף במסגרת הזאת, עלה הצורך בכל זאת להביא את המחירים לרמה היותר גבוהה שכן באותה תקופה המחירים היו מחירי הפסד, אשר פחימה הציע שהוא יציג דוגמה של מחירון חדש שיהווה בסיס לכל החברות ולאחר שעיינתי בו, היה נראה לי שהוא מתאים למצרפלס ואכן פרסמנו מחירון כזה. אינני זוכר מה אמרתי לאשר פחימה על נושא מחירון ומחירים אבל זכור לי </w:t>
      </w:r>
      <w:r>
        <w:rPr>
          <w:rFonts w:cs="Miriam" w:hint="cs"/>
          <w:b/>
          <w:szCs w:val="19"/>
          <w:rtl/>
        </w:rPr>
        <w:t xml:space="preserve">שסיכמנו על מחירון אחיד, על רמת הנחות בסיסית, והיה ידוע, לאשר </w:t>
      </w:r>
    </w:p>
    <w:p w:rsidR="00F706F7" w:rsidRDefault="00F82D59">
      <w:pPr>
        <w:pStyle w:val="a4"/>
        <w:rPr>
          <w:rFonts w:hint="cs"/>
          <w:rtl/>
        </w:rPr>
      </w:pPr>
      <w:r>
        <w:rPr>
          <w:rFonts w:cs="Miriam"/>
          <w:b/>
          <w:szCs w:val="19"/>
          <w:rtl/>
        </w:rPr>
        <w:br w:type="page"/>
      </w:r>
      <w:r w:rsidR="00F706F7">
        <w:rPr>
          <w:rFonts w:cs="Miriam" w:hint="cs"/>
          <w:b/>
          <w:szCs w:val="19"/>
          <w:rtl/>
        </w:rPr>
        <w:t>פחימה, לפחות, שקבוצת לב אופיר תזכה אצלנו להנחות גדולות יותר בגלל היקף הפעילות</w:t>
      </w:r>
      <w:r w:rsidR="00F706F7">
        <w:rPr>
          <w:rFonts w:hint="cs"/>
          <w:rtl/>
        </w:rPr>
        <w:t>, אמרנו לו, הכוונה שלי, שבגלל, שהוא, לב אופיר לקוח גדול, אנחנו נסכים לרמת מחירים שלב אופיר הציע לנו ושאני ידעתי שהוא הציע גם לאשר פחימה, הוא אמר לי את זה".</w:t>
      </w:r>
    </w:p>
    <w:p w:rsidR="00F706F7" w:rsidRDefault="00F706F7">
      <w:pPr>
        <w:pStyle w:val="a"/>
        <w:rPr>
          <w:rFonts w:hint="cs"/>
          <w:rtl/>
        </w:rPr>
      </w:pPr>
      <w:r>
        <w:rPr>
          <w:rFonts w:hint="cs"/>
          <w:rtl/>
        </w:rPr>
        <w:t>אביטל לא הצטרף להסדר הכובל, נושא האישום הראשון, אך הוא מסר לפחימה שמצרפלס תאמץ את המחירון עם הנחה התחלתית של 33%. עם זאת קבע בית</w:t>
      </w:r>
      <w:r>
        <w:rPr>
          <w:rFonts w:hint="cs"/>
          <w:position w:val="4"/>
          <w:rtl/>
        </w:rPr>
        <w:t>-</w:t>
      </w:r>
      <w:r>
        <w:rPr>
          <w:rFonts w:hint="cs"/>
          <w:rtl/>
        </w:rPr>
        <w:t>המשפט שחלק מלקוחותיה של מצרפלס קיבלו הנחה של 40%. מצרפלס ואביטל חזרו בהם, ערב הדיון, מהערעור על ההרשעה. על</w:t>
      </w:r>
      <w:r>
        <w:rPr>
          <w:rFonts w:hint="cs"/>
          <w:position w:val="4"/>
          <w:rtl/>
        </w:rPr>
        <w:t>-</w:t>
      </w:r>
      <w:r>
        <w:rPr>
          <w:rFonts w:hint="cs"/>
          <w:rtl/>
        </w:rPr>
        <w:t xml:space="preserve">כן גם בעניינם אין צורך להיכנס לניתוח משפטי של סוגיית ההסדר הכובל. מצרפלס ואביטל הורשעו בעבירת ההסדר הכובל לפי סעיפים </w:t>
      </w:r>
      <w:hyperlink r:id="rId49" w:history="1">
        <w:r w:rsidR="005673AB" w:rsidRPr="005673AB">
          <w:rPr>
            <w:rStyle w:val="Hyperlink"/>
            <w:rtl/>
          </w:rPr>
          <w:t>2(א),</w:t>
        </w:r>
      </w:hyperlink>
      <w:r>
        <w:rPr>
          <w:rFonts w:hint="cs"/>
          <w:rtl/>
        </w:rPr>
        <w:t xml:space="preserve"> </w:t>
      </w:r>
      <w:hyperlink r:id="rId50" w:history="1">
        <w:r w:rsidR="005673AB" w:rsidRPr="005673AB">
          <w:rPr>
            <w:rStyle w:val="Hyperlink"/>
            <w:rtl/>
          </w:rPr>
          <w:t>2(ב)(1)</w:t>
        </w:r>
      </w:hyperlink>
      <w:r>
        <w:rPr>
          <w:rFonts w:hint="cs"/>
          <w:rtl/>
        </w:rPr>
        <w:t xml:space="preserve">, </w:t>
      </w:r>
      <w:hyperlink r:id="rId51" w:history="1">
        <w:r w:rsidR="005673AB" w:rsidRPr="005673AB">
          <w:rPr>
            <w:color w:val="0000FF"/>
            <w:u w:val="single"/>
            <w:rtl/>
          </w:rPr>
          <w:t>2(ב)(4)</w:t>
        </w:r>
      </w:hyperlink>
      <w:r>
        <w:rPr>
          <w:rFonts w:hint="cs"/>
          <w:rtl/>
        </w:rPr>
        <w:t xml:space="preserve">, </w:t>
      </w:r>
      <w:hyperlink r:id="rId52" w:history="1">
        <w:r w:rsidR="005673AB" w:rsidRPr="005673AB">
          <w:rPr>
            <w:rStyle w:val="Hyperlink"/>
            <w:rtl/>
          </w:rPr>
          <w:t>4</w:t>
        </w:r>
      </w:hyperlink>
      <w:r>
        <w:rPr>
          <w:rFonts w:hint="cs"/>
          <w:rtl/>
        </w:rPr>
        <w:t xml:space="preserve"> ו</w:t>
      </w:r>
      <w:r>
        <w:rPr>
          <w:rFonts w:hint="cs"/>
          <w:position w:val="4"/>
          <w:rtl/>
        </w:rPr>
        <w:t>-</w:t>
      </w:r>
      <w:hyperlink r:id="rId53" w:history="1">
        <w:r w:rsidR="005673AB" w:rsidRPr="005673AB">
          <w:rPr>
            <w:color w:val="0000FF"/>
            <w:u w:val="single"/>
            <w:rtl/>
          </w:rPr>
          <w:t>47(א)(1)</w:t>
        </w:r>
      </w:hyperlink>
      <w:r>
        <w:rPr>
          <w:rFonts w:hint="cs"/>
          <w:rtl/>
        </w:rPr>
        <w:t xml:space="preserve"> לחוק.</w:t>
      </w:r>
    </w:p>
    <w:p w:rsidR="00F706F7" w:rsidRDefault="00F706F7">
      <w:pPr>
        <w:pStyle w:val="a"/>
        <w:rPr>
          <w:rFonts w:hint="cs"/>
          <w:rtl/>
        </w:rPr>
      </w:pPr>
      <w:r>
        <w:rPr>
          <w:rFonts w:cs="Miriam" w:hint="cs"/>
          <w:b/>
          <w:sz w:val="28"/>
          <w:szCs w:val="19"/>
          <w:rtl/>
        </w:rPr>
        <w:t>העונשים ודחיית בקשתו של אביטל לבטל את הרשעתו</w:t>
      </w:r>
    </w:p>
    <w:p w:rsidR="00F706F7" w:rsidRDefault="00F706F7">
      <w:pPr>
        <w:pStyle w:val="a"/>
        <w:rPr>
          <w:rFonts w:hint="cs"/>
          <w:rtl/>
        </w:rPr>
      </w:pPr>
      <w:r>
        <w:rPr>
          <w:rFonts w:hint="cs"/>
          <w:rtl/>
        </w:rPr>
        <w:t>11.</w:t>
      </w:r>
      <w:r>
        <w:rPr>
          <w:rFonts w:hint="cs"/>
          <w:rtl/>
        </w:rPr>
        <w:tab/>
        <w:t>על הרץ הטיל בית</w:t>
      </w:r>
      <w:r>
        <w:rPr>
          <w:rFonts w:hint="cs"/>
          <w:position w:val="4"/>
          <w:rtl/>
        </w:rPr>
        <w:t>-</w:t>
      </w:r>
      <w:r>
        <w:rPr>
          <w:rFonts w:hint="cs"/>
          <w:rtl/>
        </w:rPr>
        <w:t>המשפט עונש מאסר של שישה חודשים שירוצה בעבודות שירות, מאסר על</w:t>
      </w:r>
      <w:r>
        <w:rPr>
          <w:rFonts w:hint="cs"/>
          <w:position w:val="4"/>
          <w:rtl/>
        </w:rPr>
        <w:t>-</w:t>
      </w:r>
      <w:r>
        <w:rPr>
          <w:rFonts w:hint="cs"/>
          <w:rtl/>
        </w:rPr>
        <w:t>תנאי של 12 חודשים וקנס של 50,000 ש</w:t>
      </w:r>
      <w:r>
        <w:rPr>
          <w:rtl/>
        </w:rPr>
        <w:t>"</w:t>
      </w:r>
      <w:r>
        <w:rPr>
          <w:rFonts w:hint="cs"/>
          <w:rtl/>
        </w:rPr>
        <w:t>ח. אביטל ביקש מבית</w:t>
      </w:r>
      <w:r>
        <w:rPr>
          <w:rFonts w:hint="cs"/>
          <w:position w:val="4"/>
          <w:rtl/>
        </w:rPr>
        <w:t>-</w:t>
      </w:r>
      <w:r>
        <w:rPr>
          <w:rFonts w:hint="cs"/>
          <w:rtl/>
        </w:rPr>
        <w:t xml:space="preserve">המשפט לעשות שימוש בסמכותו לפי </w:t>
      </w:r>
      <w:hyperlink r:id="rId54" w:history="1">
        <w:r w:rsidR="005673AB" w:rsidRPr="005673AB">
          <w:rPr>
            <w:color w:val="0000FF"/>
            <w:u w:val="single"/>
            <w:rtl/>
          </w:rPr>
          <w:t>סעיף 192א</w:t>
        </w:r>
      </w:hyperlink>
      <w:r>
        <w:rPr>
          <w:rFonts w:hint="cs"/>
          <w:rtl/>
        </w:rPr>
        <w:t xml:space="preserve"> ל</w:t>
      </w:r>
      <w:hyperlink r:id="rId55" w:history="1">
        <w:r w:rsidR="00FC41C2" w:rsidRPr="00FC41C2">
          <w:rPr>
            <w:rStyle w:val="Hyperlink"/>
            <w:rFonts w:hint="eastAsia"/>
            <w:rtl/>
          </w:rPr>
          <w:t>חוק</w:t>
        </w:r>
        <w:r w:rsidR="00FC41C2" w:rsidRPr="00FC41C2">
          <w:rPr>
            <w:rStyle w:val="Hyperlink"/>
            <w:rtl/>
          </w:rPr>
          <w:t xml:space="preserve"> סדר הדין הפלילי</w:t>
        </w:r>
      </w:hyperlink>
      <w:r>
        <w:rPr>
          <w:rFonts w:hint="cs"/>
          <w:rtl/>
        </w:rPr>
        <w:t xml:space="preserve"> [נוסח משולב], תשמ"ב-1982 ולבטל את הרשעתו. בית</w:t>
      </w:r>
      <w:r>
        <w:rPr>
          <w:rFonts w:hint="cs"/>
          <w:position w:val="4"/>
          <w:rtl/>
        </w:rPr>
        <w:t>-</w:t>
      </w:r>
      <w:r>
        <w:rPr>
          <w:rFonts w:hint="cs"/>
          <w:rtl/>
        </w:rPr>
        <w:t>המשפט לא נעתר לבקשה והותיר את ההרשעה על כנה. על אביטל הוטל עונש מאסר לתקופה של שני חודשים שירוצה בעבודות שירות, מאסר על תנאי של 12 חודשים וקנס של 35,000 ש</w:t>
      </w:r>
      <w:r>
        <w:rPr>
          <w:rtl/>
        </w:rPr>
        <w:t>"</w:t>
      </w:r>
      <w:r>
        <w:rPr>
          <w:rFonts w:hint="cs"/>
          <w:rtl/>
        </w:rPr>
        <w:t>ח. על מצרפלס הוטל קנס של 600,000 ש</w:t>
      </w:r>
      <w:r>
        <w:rPr>
          <w:rtl/>
        </w:rPr>
        <w:t>"</w:t>
      </w:r>
      <w:r>
        <w:rPr>
          <w:rFonts w:hint="cs"/>
          <w:rtl/>
        </w:rPr>
        <w:t>ח. לגבי כל הקנסות נקבע כי ישולמו ב</w:t>
      </w:r>
      <w:r>
        <w:rPr>
          <w:rFonts w:hint="cs"/>
          <w:position w:val="4"/>
          <w:rtl/>
        </w:rPr>
        <w:t>-</w:t>
      </w:r>
      <w:r>
        <w:rPr>
          <w:rFonts w:hint="cs"/>
          <w:rtl/>
        </w:rPr>
        <w:t>30 תשלומים חודשיים רצופים.</w:t>
      </w:r>
    </w:p>
    <w:p w:rsidR="00F706F7" w:rsidRDefault="00F706F7">
      <w:pPr>
        <w:pStyle w:val="a"/>
        <w:rPr>
          <w:rFonts w:hint="cs"/>
          <w:rtl/>
        </w:rPr>
      </w:pPr>
      <w:r>
        <w:rPr>
          <w:rFonts w:cs="Miriam" w:hint="cs"/>
          <w:b/>
          <w:sz w:val="28"/>
          <w:szCs w:val="19"/>
          <w:rtl/>
        </w:rPr>
        <w:t>ערעורו של הרץ על ההרשעה</w:t>
      </w:r>
    </w:p>
    <w:p w:rsidR="00F706F7" w:rsidRDefault="00F706F7">
      <w:pPr>
        <w:pStyle w:val="a"/>
        <w:rPr>
          <w:rFonts w:hint="cs"/>
          <w:rtl/>
        </w:rPr>
      </w:pPr>
      <w:r>
        <w:rPr>
          <w:rFonts w:hint="cs"/>
          <w:rtl/>
        </w:rPr>
        <w:t>12.</w:t>
      </w:r>
      <w:r>
        <w:rPr>
          <w:rFonts w:hint="cs"/>
          <w:rtl/>
        </w:rPr>
        <w:tab/>
        <w:t xml:space="preserve">כפי שכבר נרמז, הרץ </w:t>
      </w:r>
      <w:r>
        <w:rPr>
          <w:rFonts w:cs="Miriam" w:hint="cs"/>
          <w:b/>
          <w:szCs w:val="19"/>
          <w:rtl/>
        </w:rPr>
        <w:t>איננו</w:t>
      </w:r>
      <w:r>
        <w:rPr>
          <w:rFonts w:hint="cs"/>
          <w:rtl/>
        </w:rPr>
        <w:t xml:space="preserve"> טוען בערעורו שההסדרים (שנעשו לטענתו על</w:t>
      </w:r>
      <w:r>
        <w:rPr>
          <w:rFonts w:hint="cs"/>
          <w:position w:val="4"/>
          <w:rtl/>
        </w:rPr>
        <w:t>-</w:t>
      </w:r>
      <w:r>
        <w:rPr>
          <w:rFonts w:hint="cs"/>
          <w:rtl/>
        </w:rPr>
        <w:t>ידי אחרים) אינם הסדרים כובלים. טענותיו, שיפורטו להלן, הן במישורים אחרים, ובעיקר על חלקו שלו בפרשה. על</w:t>
      </w:r>
      <w:r>
        <w:rPr>
          <w:rFonts w:hint="cs"/>
          <w:position w:val="4"/>
          <w:rtl/>
        </w:rPr>
        <w:t>-</w:t>
      </w:r>
      <w:r>
        <w:rPr>
          <w:rFonts w:hint="cs"/>
          <w:rtl/>
        </w:rPr>
        <w:t>כן אין צורך כאמור לדון במסגרת ערעור זה בקביעותיו של בית</w:t>
      </w:r>
      <w:r>
        <w:rPr>
          <w:rFonts w:hint="cs"/>
          <w:position w:val="4"/>
          <w:rtl/>
        </w:rPr>
        <w:t>-</w:t>
      </w:r>
      <w:r>
        <w:rPr>
          <w:rFonts w:hint="cs"/>
          <w:rtl/>
        </w:rPr>
        <w:t xml:space="preserve">המשפט שמצא – לגבי ההסדרים השונים שבהם הורשע הרץ – שאכן הסדרים כובלים הם. </w:t>
      </w:r>
    </w:p>
    <w:p w:rsidR="00F82D59" w:rsidRDefault="00F706F7">
      <w:pPr>
        <w:pStyle w:val="a"/>
        <w:rPr>
          <w:rtl/>
        </w:rPr>
      </w:pPr>
      <w:r>
        <w:rPr>
          <w:rFonts w:hint="cs"/>
          <w:rtl/>
        </w:rPr>
        <w:t>13.</w:t>
      </w:r>
      <w:r>
        <w:rPr>
          <w:rFonts w:hint="cs"/>
          <w:rtl/>
        </w:rPr>
        <w:tab/>
        <w:t xml:space="preserve">טענה מרכזית של הרץ היא כי היה ניתן להרשיעו, לכל היותר, בעבירה של </w:t>
      </w:r>
      <w:r>
        <w:rPr>
          <w:rFonts w:cs="Miriam" w:hint="cs"/>
          <w:b/>
          <w:szCs w:val="19"/>
          <w:rtl/>
        </w:rPr>
        <w:t>ניסיון</w:t>
      </w:r>
      <w:r>
        <w:rPr>
          <w:rFonts w:hint="cs"/>
          <w:rtl/>
        </w:rPr>
        <w:t xml:space="preserve"> להיות צד להסדר כובל, אך לא בעבירה המושלמת. לעניין זה מדגיש בא</w:t>
      </w:r>
      <w:r>
        <w:rPr>
          <w:rFonts w:hint="cs"/>
          <w:position w:val="4"/>
          <w:rtl/>
        </w:rPr>
        <w:t>-</w:t>
      </w:r>
      <w:r>
        <w:rPr>
          <w:rFonts w:hint="cs"/>
          <w:rtl/>
        </w:rPr>
        <w:t>כוחו עורך</w:t>
      </w:r>
      <w:r>
        <w:rPr>
          <w:rFonts w:hint="cs"/>
          <w:position w:val="4"/>
          <w:rtl/>
        </w:rPr>
        <w:t>-</w:t>
      </w:r>
      <w:r>
        <w:rPr>
          <w:rFonts w:hint="cs"/>
          <w:rtl/>
        </w:rPr>
        <w:t xml:space="preserve">דין בויאר חזור והדגש את העובדה שחברת אהליך יעקב הוקמה ביום 20.6.1994, </w:t>
      </w:r>
    </w:p>
    <w:p w:rsidR="00F706F7" w:rsidRDefault="00F82D59" w:rsidP="00F82D59">
      <w:pPr>
        <w:pStyle w:val="a"/>
        <w:ind w:firstLine="0"/>
        <w:rPr>
          <w:rFonts w:hint="cs"/>
          <w:rtl/>
        </w:rPr>
      </w:pPr>
      <w:r>
        <w:rPr>
          <w:rtl/>
        </w:rPr>
        <w:br w:type="page"/>
      </w:r>
      <w:r w:rsidR="00F706F7">
        <w:rPr>
          <w:rFonts w:hint="cs"/>
          <w:rtl/>
        </w:rPr>
        <w:t>והרץ העביר את מניותיו בחברה לנאשמים אחרים כבר ביום 7.7.1994. לטענתו של הרץ, כל פעולותיו בשלושת החודשים שקדמו להקמתה של החברה ובזמן הקצר שלאחר הקמתה ועד שפרש היו פעולות "גישוש" או ניסיון להציע הסדר כובל. הוא מוסיף וטוען כי יש להוכיח קיומו של הסדר כובל על</w:t>
      </w:r>
      <w:r w:rsidR="00F706F7">
        <w:rPr>
          <w:rFonts w:hint="cs"/>
          <w:position w:val="4"/>
          <w:rtl/>
        </w:rPr>
        <w:t>-</w:t>
      </w:r>
      <w:r w:rsidR="00F706F7">
        <w:rPr>
          <w:rFonts w:hint="cs"/>
          <w:rtl/>
        </w:rPr>
        <w:t>פי דיני החוזים, לאמור יש להוכיח הצעה וקיבול. גם לדבריו אין מסמך בכתב לגבי ההסדר. זאת ועוד, אפילו היו מעשיו בגדר כריתת הסכם, זהו הסכם בלתי חוקי ובטל (</w:t>
      </w:r>
      <w:hyperlink r:id="rId56" w:history="1">
        <w:r w:rsidR="00FC41C2" w:rsidRPr="00FC41C2">
          <w:rPr>
            <w:rStyle w:val="Hyperlink"/>
            <w:rFonts w:cs="Miriam"/>
            <w:szCs w:val="19"/>
            <w:rtl/>
          </w:rPr>
          <w:t>דנ"א 4465/98</w:t>
        </w:r>
      </w:hyperlink>
      <w:r w:rsidR="00F706F7">
        <w:rPr>
          <w:rFonts w:cs="Miriam"/>
          <w:szCs w:val="19"/>
          <w:rtl/>
        </w:rPr>
        <w:t xml:space="preserve"> טבעול (1993) בע"מ נ' שף</w:t>
      </w:r>
      <w:r w:rsidR="00F706F7">
        <w:rPr>
          <w:rFonts w:cs="Miriam"/>
          <w:position w:val="4"/>
          <w:szCs w:val="20"/>
          <w:rtl/>
        </w:rPr>
        <w:t>-</w:t>
      </w:r>
      <w:r w:rsidR="00F706F7">
        <w:rPr>
          <w:rFonts w:cs="Miriam"/>
          <w:szCs w:val="19"/>
          <w:rtl/>
        </w:rPr>
        <w:t>הים (1994) בע"מ</w:t>
      </w:r>
      <w:r w:rsidR="00F706F7">
        <w:rPr>
          <w:rFonts w:cs="Miriam" w:hint="cs"/>
          <w:szCs w:val="19"/>
          <w:rtl/>
        </w:rPr>
        <w:t xml:space="preserve"> </w:t>
      </w:r>
      <w:r w:rsidR="00F706F7">
        <w:rPr>
          <w:rFonts w:hint="cs"/>
          <w:rtl/>
        </w:rPr>
        <w:t xml:space="preserve">(להלן – הילכת </w:t>
      </w:r>
      <w:r w:rsidR="00F706F7">
        <w:rPr>
          <w:rFonts w:cs="Miriam" w:hint="cs"/>
          <w:szCs w:val="19"/>
          <w:rtl/>
        </w:rPr>
        <w:t>טבעול [1]</w:t>
      </w:r>
      <w:r w:rsidR="00F706F7">
        <w:rPr>
          <w:rFonts w:hint="cs"/>
          <w:rtl/>
        </w:rPr>
        <w:t xml:space="preserve">), </w:t>
      </w:r>
      <w:r w:rsidR="00F706F7">
        <w:rPr>
          <w:rFonts w:cs="Miriam" w:hint="cs"/>
          <w:szCs w:val="19"/>
          <w:rtl/>
        </w:rPr>
        <w:t>בעמ' 110-108</w:t>
      </w:r>
      <w:r w:rsidR="00F706F7">
        <w:rPr>
          <w:rFonts w:hint="cs"/>
          <w:rtl/>
        </w:rPr>
        <w:t>). כיצד ניתן להרשיעו, כך טוען הוא, על יסוד הסכם שאין לו תוקף כלל ועיקר?</w:t>
      </w:r>
    </w:p>
    <w:p w:rsidR="00F706F7" w:rsidRDefault="00F706F7">
      <w:pPr>
        <w:pStyle w:val="a"/>
        <w:rPr>
          <w:rFonts w:hint="cs"/>
          <w:rtl/>
        </w:rPr>
      </w:pPr>
      <w:r>
        <w:rPr>
          <w:rFonts w:hint="cs"/>
          <w:rtl/>
        </w:rPr>
        <w:t>14.</w:t>
      </w:r>
      <w:r>
        <w:rPr>
          <w:rFonts w:hint="cs"/>
          <w:rtl/>
        </w:rPr>
        <w:tab/>
        <w:t xml:space="preserve">בכל הטענות הללו אין ממש. חלק מהטענות אינן אלא ניסיון להניענו להתערב במימצאים שבעובדה שקבעה הערכאה הראשונה, מימצאים המעוגנים היטב בחומר הראיות. הפעילות שהרץ הורשע בה בחודשים שקדמו להקמת אהליך יעקב התנקזה אל התאריך הקובע: 1.7.1994. ביום זה הוצא מחירון של אהליך יעקב, מחירון אשר גרם לעליית מחירים חדה ופתאומית. הטענה שלפיה לא הרץ היה זה שהוציא את המחירון נדחתה, ובצדק. היו בפני הערכאה הראשונה ראיות שהרץ הפיץ את המחירון. ועוד, הסדר כובל אינו צריך להיעשות דווקא בכתב, ואין להחיל על עשייתו את דיני החוזים. לעתים מזומנות ביצועו של הסדר הוא ראיה כבדת משקל לעצם עשייתו. הערכאה הראשונה הביאה מדברים שכתב לפני שנים רבות </w:t>
      </w:r>
      <w:r>
        <w:rPr>
          <w:rFonts w:cs="Miriam" w:hint="cs"/>
          <w:szCs w:val="19"/>
          <w:rtl/>
        </w:rPr>
        <w:t>השופט ו' זילר</w:t>
      </w:r>
      <w:r>
        <w:rPr>
          <w:rFonts w:hint="cs"/>
          <w:rtl/>
        </w:rPr>
        <w:t xml:space="preserve"> ב</w:t>
      </w:r>
      <w:r>
        <w:rPr>
          <w:rFonts w:cs="Miriam" w:hint="cs"/>
          <w:szCs w:val="19"/>
          <w:rtl/>
        </w:rPr>
        <w:t xml:space="preserve">ת"א (י-ם) 396/87 </w:t>
      </w:r>
      <w:r>
        <w:rPr>
          <w:rFonts w:cs="Miriam" w:hint="cs"/>
          <w:b/>
          <w:sz w:val="28"/>
          <w:szCs w:val="19"/>
          <w:rtl/>
        </w:rPr>
        <w:t>קיסין נ' פטרולגז חברת הגז הישראלית (1969) בע"מ</w:t>
      </w:r>
      <w:r>
        <w:rPr>
          <w:rFonts w:hint="cs"/>
          <w:rtl/>
        </w:rPr>
        <w:t xml:space="preserve"> </w:t>
      </w:r>
      <w:r>
        <w:rPr>
          <w:rFonts w:cs="Miriam" w:hint="cs"/>
          <w:szCs w:val="19"/>
          <w:rtl/>
        </w:rPr>
        <w:t>[8]</w:t>
      </w:r>
      <w:r>
        <w:rPr>
          <w:rFonts w:hint="cs"/>
          <w:rtl/>
        </w:rPr>
        <w:t>:</w:t>
      </w:r>
    </w:p>
    <w:p w:rsidR="00F706F7" w:rsidRDefault="00F706F7">
      <w:pPr>
        <w:pStyle w:val="a4"/>
        <w:spacing w:after="120"/>
        <w:rPr>
          <w:rFonts w:hint="cs"/>
          <w:rtl/>
        </w:rPr>
      </w:pPr>
      <w:r>
        <w:rPr>
          <w:rFonts w:hint="cs"/>
          <w:rtl/>
        </w:rPr>
        <w:t xml:space="preserve">"כך, למשל, צריך להינתן למלה 'הסדר' </w:t>
      </w:r>
      <w:hyperlink r:id="rId57" w:history="1">
        <w:r w:rsidR="005673AB" w:rsidRPr="005673AB">
          <w:rPr>
            <w:color w:val="0000FF"/>
            <w:u w:val="single"/>
            <w:rtl/>
          </w:rPr>
          <w:t>שבסעיף 2</w:t>
        </w:r>
      </w:hyperlink>
      <w:r>
        <w:rPr>
          <w:rFonts w:hint="cs"/>
          <w:rtl/>
        </w:rPr>
        <w:t xml:space="preserve"> בחוק, הפירוש המרחיב ביותר. החוק נועד למנוע מצבים בהם יפעלו אנשים תוך הבנה משותפת, במטרה ליצור הסדר כובל במשמעותו בחוק. ברור, שהמחוקק לא רצה להגביל עצמו בשום דרך, בניסיונו ללכוד את כל האפשרויות, בהן יגיעו בני אדם לכלל הבנה כזו. הוא טרח, לכן, והשתמש במילה 'הסדר', ולא 'הסכם' או 'חוזה'. הוא ציין, שאין חשיבות לשאלה אם מדובר בהבנה מפורשת או מכללא....</w:t>
      </w:r>
    </w:p>
    <w:p w:rsidR="00F82D59" w:rsidRDefault="00F706F7">
      <w:pPr>
        <w:pStyle w:val="a4"/>
        <w:rPr>
          <w:rtl/>
        </w:rPr>
      </w:pPr>
      <w:r>
        <w:rPr>
          <w:rFonts w:hint="cs"/>
          <w:rtl/>
        </w:rPr>
        <w:t>נוכח האמור לעיל נראה לי, שהפירוש היחיד המשיג את מטרת החוק בתחום זה צריך לקבוע, שהמילה הסדר כוללת כל דרך מתואמת, המופעלת על ידי בני אדם, המנהלים עסקים, ושמגמתה השלטת הסדר כובל. אין זה מעניינו של החוק אם תיאום זה הושג בדרכי קונספירציה, או בדרכי הסדר, או באמצעות צד ג', או על ידי קריצת עין, או על</w:t>
      </w:r>
      <w:r>
        <w:rPr>
          <w:rFonts w:hint="cs"/>
          <w:position w:val="4"/>
          <w:rtl/>
        </w:rPr>
        <w:t xml:space="preserve"> </w:t>
      </w:r>
      <w:r>
        <w:rPr>
          <w:rFonts w:hint="cs"/>
          <w:rtl/>
        </w:rPr>
        <w:t>ידי צחוק של הבנה, או על</w:t>
      </w:r>
      <w:r>
        <w:rPr>
          <w:rFonts w:hint="cs"/>
          <w:position w:val="4"/>
          <w:rtl/>
        </w:rPr>
        <w:t>-</w:t>
      </w:r>
      <w:r>
        <w:rPr>
          <w:rFonts w:hint="cs"/>
          <w:rtl/>
        </w:rPr>
        <w:t>ידי מתאם שהוא זר להסדר, או על</w:t>
      </w:r>
      <w:r>
        <w:rPr>
          <w:rFonts w:hint="cs"/>
          <w:position w:val="4"/>
          <w:rtl/>
        </w:rPr>
        <w:t xml:space="preserve"> </w:t>
      </w:r>
      <w:r>
        <w:rPr>
          <w:rFonts w:hint="cs"/>
          <w:rtl/>
        </w:rPr>
        <w:t xml:space="preserve">ידי דברים שנאמרו למאן דהוא </w:t>
      </w:r>
    </w:p>
    <w:p w:rsidR="00F706F7" w:rsidRDefault="00F82D59">
      <w:pPr>
        <w:pStyle w:val="a4"/>
        <w:rPr>
          <w:rFonts w:hint="cs"/>
          <w:rtl/>
        </w:rPr>
      </w:pPr>
      <w:r>
        <w:rPr>
          <w:rtl/>
        </w:rPr>
        <w:br w:type="page"/>
      </w:r>
      <w:r w:rsidR="00F706F7">
        <w:rPr>
          <w:rFonts w:hint="cs"/>
          <w:rtl/>
        </w:rPr>
        <w:t>שאינו שייך לעניין, כדי שהדברים יישמעו על</w:t>
      </w:r>
      <w:r w:rsidR="00F706F7">
        <w:rPr>
          <w:rFonts w:hint="cs"/>
          <w:position w:val="4"/>
          <w:rtl/>
        </w:rPr>
        <w:t xml:space="preserve"> </w:t>
      </w:r>
      <w:r w:rsidR="00F706F7">
        <w:rPr>
          <w:rFonts w:hint="cs"/>
          <w:rtl/>
        </w:rPr>
        <w:t>ידי מישהו השייך לעניין, או בכל דרך אחרת. המילה 'הסדר' שנקט אותה המחוקק היא רחבה מספיק, כדי ללכוד בתוכה את כל מגוון האפשרויות שתוארו לעיל, כמו גם כל אפשרות אחרת, וכל חידוש או המצאה שיחודשו או יוצאו בעתיד, ושיביאו לכלל תיאום בין הצדדים עליהם מדבר החוק. החוק דובר אל קוראיו כך: כל דרך שתנקטו אותה ושיש בה, או שהיא מובילה, לתיאום המוביל להסדר כובל, הוא 'ההסדר' הכתוב בחוק".</w:t>
      </w:r>
    </w:p>
    <w:p w:rsidR="00F706F7" w:rsidRDefault="00F706F7">
      <w:pPr>
        <w:pStyle w:val="a"/>
        <w:rPr>
          <w:rFonts w:hint="cs"/>
          <w:rtl/>
        </w:rPr>
      </w:pPr>
      <w:r>
        <w:rPr>
          <w:rFonts w:hint="cs"/>
          <w:rtl/>
        </w:rPr>
        <w:t>לדברים אלה מסכימה אף אני.</w:t>
      </w:r>
    </w:p>
    <w:p w:rsidR="00F706F7" w:rsidRDefault="00F706F7">
      <w:pPr>
        <w:pStyle w:val="a"/>
        <w:rPr>
          <w:rFonts w:hint="cs"/>
          <w:rtl/>
        </w:rPr>
      </w:pPr>
      <w:r>
        <w:rPr>
          <w:rFonts w:hint="cs"/>
          <w:rtl/>
        </w:rPr>
        <w:t xml:space="preserve">אכן, הסדר כובל בטל הוא, כאמור בהילכת </w:t>
      </w:r>
      <w:r>
        <w:rPr>
          <w:rFonts w:cs="Miriam" w:hint="cs"/>
          <w:b/>
          <w:szCs w:val="19"/>
          <w:rtl/>
        </w:rPr>
        <w:t>טבעול [1]</w:t>
      </w:r>
      <w:r>
        <w:rPr>
          <w:rFonts w:hint="cs"/>
          <w:rtl/>
        </w:rPr>
        <w:t>. אולם מכך אין להסיק שלא ניתן להעמיד לדין ולהרשיע מי שהיה צד להסדר כובל. קבלת הטענה שהעלה הרץ תביא לריקון כל ההוראות הפליליות שב</w:t>
      </w:r>
      <w:hyperlink r:id="rId58" w:history="1">
        <w:r w:rsidR="00FC41C2" w:rsidRPr="00FC41C2">
          <w:rPr>
            <w:rStyle w:val="Hyperlink"/>
            <w:rFonts w:hint="eastAsia"/>
            <w:rtl/>
          </w:rPr>
          <w:t>חוק</w:t>
        </w:r>
        <w:r w:rsidR="00FC41C2" w:rsidRPr="00FC41C2">
          <w:rPr>
            <w:rStyle w:val="Hyperlink"/>
            <w:rtl/>
          </w:rPr>
          <w:t xml:space="preserve"> ההגבלים העסקיים</w:t>
        </w:r>
      </w:hyperlink>
      <w:r>
        <w:rPr>
          <w:rFonts w:hint="cs"/>
          <w:rtl/>
        </w:rPr>
        <w:t xml:space="preserve"> מתוכנן. בטלות ההסדר היא לגבי תוצאותיו האזרחיות, ולא לגבי הפליליות שבעשייתו.</w:t>
      </w:r>
    </w:p>
    <w:p w:rsidR="00F706F7" w:rsidRDefault="00F706F7">
      <w:pPr>
        <w:pStyle w:val="a"/>
        <w:rPr>
          <w:rFonts w:hint="cs"/>
          <w:rtl/>
        </w:rPr>
      </w:pPr>
      <w:r>
        <w:rPr>
          <w:rFonts w:hint="cs"/>
          <w:rtl/>
        </w:rPr>
        <w:t>15.</w:t>
      </w:r>
      <w:r>
        <w:rPr>
          <w:rFonts w:hint="cs"/>
          <w:rtl/>
        </w:rPr>
        <w:tab/>
        <w:t xml:space="preserve">מוסיף הרץ וטוען כי הערכאה הראשונה התעלמה מדיני החברות. תאגיד אינו יכול, לדבריו, לבצע הסדר ב"קריצת עין" בלי אישור הדירקטוריון, האספה הכללית, קבלת החלטה וכיוצא באלה. גם בטענה זו אין ממש. אשר לאחריותו של תאגיד – "קריצת עין" יכולה להתבצע באמצעות האורגנים שלו. אך כפי שכבר הודגש, הרץ הורשע בגין אחריותו האישית למעשיו שלו, כאמור </w:t>
      </w:r>
      <w:hyperlink r:id="rId59" w:history="1">
        <w:r w:rsidR="005673AB" w:rsidRPr="005673AB">
          <w:rPr>
            <w:color w:val="0000FF"/>
            <w:u w:val="single"/>
            <w:rtl/>
          </w:rPr>
          <w:t>בסעיף 47(א)(1)</w:t>
        </w:r>
      </w:hyperlink>
      <w:r>
        <w:rPr>
          <w:rFonts w:hint="cs"/>
          <w:rtl/>
        </w:rPr>
        <w:t xml:space="preserve"> לחוק, הקובע את אחריותו של מי שהיה צד להסדר כובל, </w:t>
      </w:r>
      <w:r>
        <w:rPr>
          <w:rFonts w:cs="Miriam" w:hint="cs"/>
          <w:b/>
          <w:szCs w:val="19"/>
          <w:rtl/>
        </w:rPr>
        <w:t>ולא</w:t>
      </w:r>
      <w:r>
        <w:rPr>
          <w:rFonts w:hint="cs"/>
          <w:rtl/>
        </w:rPr>
        <w:t xml:space="preserve"> בשל היותו מנהל בחברה, כאמור </w:t>
      </w:r>
      <w:hyperlink r:id="rId60" w:history="1">
        <w:r w:rsidR="005673AB" w:rsidRPr="005673AB">
          <w:rPr>
            <w:color w:val="0000FF"/>
            <w:u w:val="single"/>
            <w:rtl/>
          </w:rPr>
          <w:t>בסעיף 48</w:t>
        </w:r>
      </w:hyperlink>
      <w:r>
        <w:rPr>
          <w:rFonts w:hint="cs"/>
          <w:rtl/>
        </w:rPr>
        <w:t xml:space="preserve"> לחוק. סוגיית האחריות האישית בעניין ההסדרים הכובלים בוארה באר היטב ב</w:t>
      </w:r>
      <w:hyperlink r:id="rId61" w:history="1">
        <w:r w:rsidR="00FC41C2" w:rsidRPr="00FC41C2">
          <w:rPr>
            <w:rStyle w:val="Hyperlink"/>
            <w:rFonts w:cs="Miriam" w:hint="eastAsia"/>
            <w:szCs w:val="19"/>
            <w:rtl/>
          </w:rPr>
          <w:t>ע</w:t>
        </w:r>
        <w:r w:rsidR="00FC41C2" w:rsidRPr="00FC41C2">
          <w:rPr>
            <w:rStyle w:val="Hyperlink"/>
            <w:rFonts w:cs="Miriam"/>
            <w:szCs w:val="19"/>
            <w:rtl/>
          </w:rPr>
          <w:t>"פ 7399/95</w:t>
        </w:r>
      </w:hyperlink>
      <w:r>
        <w:rPr>
          <w:rFonts w:cs="Miriam" w:hint="cs"/>
          <w:szCs w:val="19"/>
          <w:rtl/>
        </w:rPr>
        <w:t xml:space="preserve"> נ</w:t>
      </w:r>
      <w:r>
        <w:rPr>
          <w:rFonts w:cs="Miriam" w:hint="cs"/>
          <w:b/>
          <w:sz w:val="28"/>
          <w:szCs w:val="19"/>
          <w:rtl/>
        </w:rPr>
        <w:t>חושתן תעשיות מעליות בע"מ נ' מדינת ישראל [2]</w:t>
      </w:r>
      <w:r>
        <w:rPr>
          <w:rFonts w:hint="cs"/>
          <w:rtl/>
        </w:rPr>
        <w:t>. הרץ מוסיף וטוען שלא היה ניתן להרשיעו כיוון שהחברה – אהליך יעקב – נמחקה מכתב</w:t>
      </w:r>
      <w:r>
        <w:rPr>
          <w:rFonts w:hint="cs"/>
          <w:position w:val="4"/>
          <w:rtl/>
        </w:rPr>
        <w:t>-</w:t>
      </w:r>
      <w:r>
        <w:rPr>
          <w:rFonts w:hint="cs"/>
          <w:rtl/>
        </w:rPr>
        <w:t xml:space="preserve">האישום. גם טענה זו יש לדחות: ראשית, הרץ הורשע כאמור בשל אחריותו האישית. מעבר לכך, גם בעניין אחריותו של מנהל, כאמור </w:t>
      </w:r>
      <w:hyperlink r:id="rId62" w:history="1">
        <w:r w:rsidR="005673AB" w:rsidRPr="005673AB">
          <w:rPr>
            <w:color w:val="0000FF"/>
            <w:u w:val="single"/>
            <w:rtl/>
          </w:rPr>
          <w:t>בסעיף 48</w:t>
        </w:r>
      </w:hyperlink>
      <w:r>
        <w:rPr>
          <w:rFonts w:hint="cs"/>
          <w:rtl/>
        </w:rPr>
        <w:t xml:space="preserve"> לחוק, אין </w:t>
      </w:r>
      <w:r>
        <w:rPr>
          <w:rFonts w:cs="Miriam" w:hint="cs"/>
          <w:b/>
          <w:szCs w:val="19"/>
          <w:rtl/>
        </w:rPr>
        <w:t>הכרח</w:t>
      </w:r>
      <w:r>
        <w:rPr>
          <w:rFonts w:hint="cs"/>
          <w:rtl/>
        </w:rPr>
        <w:t xml:space="preserve"> שהחברה תהיה צד לכתב</w:t>
      </w:r>
      <w:r>
        <w:rPr>
          <w:rFonts w:hint="cs"/>
          <w:position w:val="4"/>
          <w:rtl/>
        </w:rPr>
        <w:t>-</w:t>
      </w:r>
      <w:r>
        <w:rPr>
          <w:rFonts w:hint="cs"/>
          <w:rtl/>
        </w:rPr>
        <w:t>האישום. בדרך</w:t>
      </w:r>
      <w:r>
        <w:rPr>
          <w:rFonts w:hint="cs"/>
          <w:position w:val="4"/>
          <w:rtl/>
        </w:rPr>
        <w:t>-</w:t>
      </w:r>
      <w:r>
        <w:rPr>
          <w:rFonts w:hint="cs"/>
          <w:rtl/>
        </w:rPr>
        <w:t>כלל מצרפים את החברה כדי שיהיה ניתן להטיל עליה קנס אם תורשע, אך אין הכרח בדבר.</w:t>
      </w:r>
    </w:p>
    <w:p w:rsidR="00F82D59" w:rsidRDefault="00F706F7">
      <w:pPr>
        <w:pStyle w:val="a"/>
        <w:rPr>
          <w:rtl/>
        </w:rPr>
      </w:pPr>
      <w:r>
        <w:rPr>
          <w:rFonts w:hint="cs"/>
          <w:rtl/>
        </w:rPr>
        <w:t>16.</w:t>
      </w:r>
      <w:r>
        <w:rPr>
          <w:rFonts w:hint="cs"/>
          <w:rtl/>
        </w:rPr>
        <w:tab/>
        <w:t xml:space="preserve">הרץ טוען עוד להגנת "זוטי דברים". אכן, כלל זוטי דברים חולש על תחומי משפט רבים, ומקובל עליי שכוחו יפה, על דרך העיקרון, גם בענייני הגבלים עסקיים (ראו </w:t>
      </w:r>
      <w:hyperlink r:id="rId63" w:history="1">
        <w:r w:rsidR="00FC41C2" w:rsidRPr="00FC41C2">
          <w:rPr>
            <w:rStyle w:val="Hyperlink"/>
            <w:rFonts w:cs="Miriam" w:hint="eastAsia"/>
            <w:szCs w:val="19"/>
            <w:rtl/>
          </w:rPr>
          <w:t>ע</w:t>
        </w:r>
        <w:r w:rsidR="00FC41C2" w:rsidRPr="00FC41C2">
          <w:rPr>
            <w:rStyle w:val="Hyperlink"/>
            <w:rFonts w:cs="Miriam"/>
            <w:szCs w:val="19"/>
            <w:rtl/>
          </w:rPr>
          <w:t>"א 3700/98</w:t>
        </w:r>
      </w:hyperlink>
      <w:r>
        <w:rPr>
          <w:rFonts w:cs="Miriam" w:hint="cs"/>
          <w:szCs w:val="19"/>
          <w:rtl/>
        </w:rPr>
        <w:t xml:space="preserve"> א. מ. חניות</w:t>
      </w:r>
      <w:r>
        <w:rPr>
          <w:rFonts w:cs="Miriam" w:hint="cs"/>
          <w:b/>
          <w:sz w:val="28"/>
          <w:szCs w:val="19"/>
          <w:rtl/>
        </w:rPr>
        <w:t xml:space="preserve"> (ירושלים) 1993 בע"מ נ' עיריית ירושלים [3]</w:t>
      </w:r>
      <w:r>
        <w:rPr>
          <w:rFonts w:hint="cs"/>
          <w:rtl/>
        </w:rPr>
        <w:t xml:space="preserve">; </w:t>
      </w:r>
      <w:hyperlink r:id="rId64" w:history="1">
        <w:r w:rsidR="00FC41C2" w:rsidRPr="00FC41C2">
          <w:rPr>
            <w:rStyle w:val="Hyperlink"/>
            <w:rFonts w:cs="Miriam" w:hint="eastAsia"/>
            <w:szCs w:val="19"/>
            <w:rtl/>
          </w:rPr>
          <w:t>דנ</w:t>
        </w:r>
        <w:r w:rsidR="00FC41C2" w:rsidRPr="00FC41C2">
          <w:rPr>
            <w:rStyle w:val="Hyperlink"/>
            <w:rFonts w:cs="Miriam"/>
            <w:szCs w:val="19"/>
            <w:rtl/>
          </w:rPr>
          <w:t>"א 3113/03</w:t>
        </w:r>
      </w:hyperlink>
      <w:r>
        <w:rPr>
          <w:rFonts w:cs="Miriam" w:hint="cs"/>
          <w:szCs w:val="19"/>
          <w:rtl/>
        </w:rPr>
        <w:t xml:space="preserve"> </w:t>
      </w:r>
      <w:r>
        <w:rPr>
          <w:rFonts w:cs="Miriam" w:hint="cs"/>
          <w:b/>
          <w:sz w:val="28"/>
          <w:szCs w:val="19"/>
          <w:rtl/>
        </w:rPr>
        <w:t>א. מ. חנויות (ירושלים) 1993 בע"מ נ' עירית ירושלים [4]</w:t>
      </w:r>
      <w:r>
        <w:rPr>
          <w:rFonts w:hint="cs"/>
          <w:rtl/>
        </w:rPr>
        <w:t xml:space="preserve">). ואולם בעניינו אין המדובר בזוטי דברים כלל ועיקר. למחירון מיום 1.7.1994 הייתה השפעה רבה על </w:t>
      </w:r>
    </w:p>
    <w:p w:rsidR="00F706F7" w:rsidRDefault="00F82D59" w:rsidP="00F82D59">
      <w:pPr>
        <w:pStyle w:val="a"/>
        <w:ind w:firstLine="0"/>
        <w:rPr>
          <w:rFonts w:hint="cs"/>
          <w:rtl/>
        </w:rPr>
      </w:pPr>
      <w:r>
        <w:rPr>
          <w:rtl/>
        </w:rPr>
        <w:br w:type="page"/>
      </w:r>
      <w:r w:rsidR="00F706F7">
        <w:rPr>
          <w:rFonts w:hint="cs"/>
          <w:rtl/>
        </w:rPr>
        <w:t>מחירי הצנרת. בית</w:t>
      </w:r>
      <w:r w:rsidR="00F706F7">
        <w:rPr>
          <w:rFonts w:hint="cs"/>
          <w:position w:val="4"/>
          <w:rtl/>
        </w:rPr>
        <w:t>-</w:t>
      </w:r>
      <w:r w:rsidR="00F706F7">
        <w:rPr>
          <w:rFonts w:hint="cs"/>
          <w:rtl/>
        </w:rPr>
        <w:t>המשפט לא קבע מימצא בשאלה מדוע עזב הרץ את הפעילות ב</w:t>
      </w:r>
      <w:r w:rsidR="00F706F7">
        <w:rPr>
          <w:rFonts w:hint="cs"/>
          <w:position w:val="4"/>
          <w:rtl/>
        </w:rPr>
        <w:t>-</w:t>
      </w:r>
      <w:r w:rsidR="00F706F7">
        <w:rPr>
          <w:rFonts w:hint="cs"/>
          <w:rtl/>
        </w:rPr>
        <w:t>7.7.1994 והעביר את מניותיו לנאשמים אחרים. נימנע אף אנו מהשערות בעניין זה. ואולם בתקופה הקצרה שבה פעל הרץ עלה בידו להגשים את ההסדר הכובל. הוא  עבר כסופה בענף הצנרת והספיק לזעזע את השוק כולו ולגרום לעליית מחירים דרסטית. לא לכך התכוונה הגנת זוטי דברים.</w:t>
      </w:r>
    </w:p>
    <w:p w:rsidR="00F706F7" w:rsidRDefault="00F706F7">
      <w:pPr>
        <w:pStyle w:val="a"/>
        <w:rPr>
          <w:rFonts w:hint="cs"/>
          <w:rtl/>
        </w:rPr>
      </w:pPr>
      <w:r>
        <w:rPr>
          <w:rFonts w:hint="cs"/>
          <w:rtl/>
        </w:rPr>
        <w:t>17.</w:t>
      </w:r>
      <w:r>
        <w:rPr>
          <w:rFonts w:hint="cs"/>
          <w:rtl/>
        </w:rPr>
        <w:tab/>
        <w:t>אציע לחבריי לדחות את ערעורו של הרץ על הרשעתו.</w:t>
      </w:r>
    </w:p>
    <w:p w:rsidR="00F706F7" w:rsidRDefault="00F706F7">
      <w:pPr>
        <w:pStyle w:val="a"/>
        <w:rPr>
          <w:rFonts w:hint="cs"/>
          <w:rtl/>
        </w:rPr>
      </w:pPr>
      <w:r>
        <w:rPr>
          <w:rFonts w:cs="Miriam" w:hint="cs"/>
          <w:b/>
          <w:sz w:val="28"/>
          <w:szCs w:val="19"/>
          <w:rtl/>
        </w:rPr>
        <w:t>ערעורו של אביטל על אי</w:t>
      </w:r>
      <w:r>
        <w:rPr>
          <w:rFonts w:cs="Miriam" w:hint="cs"/>
          <w:position w:val="4"/>
          <w:szCs w:val="20"/>
          <w:rtl/>
        </w:rPr>
        <w:t>-</w:t>
      </w:r>
      <w:r>
        <w:rPr>
          <w:rFonts w:cs="Miriam" w:hint="cs"/>
          <w:b/>
          <w:sz w:val="28"/>
          <w:szCs w:val="19"/>
          <w:rtl/>
        </w:rPr>
        <w:t>ביטול ההרשעה</w:t>
      </w:r>
    </w:p>
    <w:p w:rsidR="00F706F7" w:rsidRDefault="00F706F7">
      <w:pPr>
        <w:pStyle w:val="a"/>
        <w:rPr>
          <w:rFonts w:hint="cs"/>
          <w:rtl/>
        </w:rPr>
      </w:pPr>
      <w:r>
        <w:rPr>
          <w:rFonts w:hint="cs"/>
          <w:rtl/>
        </w:rPr>
        <w:t>18.</w:t>
      </w:r>
      <w:r>
        <w:rPr>
          <w:rFonts w:hint="cs"/>
          <w:rtl/>
        </w:rPr>
        <w:tab/>
        <w:t>לאחר הכרעת</w:t>
      </w:r>
      <w:r>
        <w:rPr>
          <w:rFonts w:hint="cs"/>
          <w:position w:val="4"/>
          <w:rtl/>
        </w:rPr>
        <w:t>-</w:t>
      </w:r>
      <w:r>
        <w:rPr>
          <w:rFonts w:hint="cs"/>
          <w:rtl/>
        </w:rPr>
        <w:t>הדין המרשיעה ולפני גזר</w:t>
      </w:r>
      <w:r>
        <w:rPr>
          <w:rFonts w:hint="cs"/>
          <w:position w:val="4"/>
          <w:rtl/>
        </w:rPr>
        <w:t>-</w:t>
      </w:r>
      <w:r>
        <w:rPr>
          <w:rFonts w:hint="cs"/>
          <w:rtl/>
        </w:rPr>
        <w:t>הדין ביקש אביטל מבית</w:t>
      </w:r>
      <w:r>
        <w:rPr>
          <w:rFonts w:hint="cs"/>
          <w:position w:val="4"/>
          <w:rtl/>
        </w:rPr>
        <w:t>-</w:t>
      </w:r>
      <w:r>
        <w:rPr>
          <w:rFonts w:hint="cs"/>
          <w:rtl/>
        </w:rPr>
        <w:t xml:space="preserve">המשפט לעשות שימוש בסמכות הקנויה לו </w:t>
      </w:r>
      <w:hyperlink r:id="rId65" w:history="1">
        <w:r w:rsidR="005673AB" w:rsidRPr="005673AB">
          <w:rPr>
            <w:color w:val="0000FF"/>
            <w:u w:val="single"/>
            <w:rtl/>
          </w:rPr>
          <w:t>בסעיף 192א</w:t>
        </w:r>
      </w:hyperlink>
      <w:r>
        <w:rPr>
          <w:rFonts w:hint="cs"/>
          <w:rtl/>
        </w:rPr>
        <w:t xml:space="preserve"> ל</w:t>
      </w:r>
      <w:hyperlink r:id="rId66" w:history="1">
        <w:r w:rsidR="00FC41C2" w:rsidRPr="00FC41C2">
          <w:rPr>
            <w:rStyle w:val="Hyperlink"/>
            <w:rFonts w:hint="eastAsia"/>
            <w:rtl/>
          </w:rPr>
          <w:t>חוק</w:t>
        </w:r>
        <w:r w:rsidR="00FC41C2" w:rsidRPr="00FC41C2">
          <w:rPr>
            <w:rStyle w:val="Hyperlink"/>
            <w:rtl/>
          </w:rPr>
          <w:t xml:space="preserve"> סדר הדין הפלילי</w:t>
        </w:r>
      </w:hyperlink>
      <w:r>
        <w:rPr>
          <w:rFonts w:hint="cs"/>
          <w:rtl/>
        </w:rPr>
        <w:t xml:space="preserve"> [נוסח משולב] ולבטל את הרשעתו. בית</w:t>
      </w:r>
      <w:r>
        <w:rPr>
          <w:rFonts w:hint="cs"/>
          <w:position w:val="4"/>
          <w:rtl/>
        </w:rPr>
        <w:t>-</w:t>
      </w:r>
      <w:r>
        <w:rPr>
          <w:rFonts w:hint="cs"/>
          <w:rtl/>
        </w:rPr>
        <w:t>המשפט לא נענה לבקשה, ועל כך מערער אביטל. בא</w:t>
      </w:r>
      <w:r>
        <w:rPr>
          <w:rFonts w:hint="cs"/>
          <w:position w:val="4"/>
          <w:rtl/>
        </w:rPr>
        <w:t>-</w:t>
      </w:r>
      <w:r>
        <w:rPr>
          <w:rFonts w:hint="cs"/>
          <w:rtl/>
        </w:rPr>
        <w:t>כוחו של אביטל עורך</w:t>
      </w:r>
      <w:r>
        <w:rPr>
          <w:rFonts w:hint="cs"/>
          <w:position w:val="4"/>
          <w:rtl/>
        </w:rPr>
        <w:t>-</w:t>
      </w:r>
      <w:r>
        <w:rPr>
          <w:rFonts w:hint="cs"/>
          <w:rtl/>
        </w:rPr>
        <w:t>דין ליבאי פרס בפנינו שורה ארוכה של נימוקים המצדיקים, לטענתו, את ביטול ההרשעה: הוא מצביע על כך שאביטל סירב להצעתו של הרץ להיות צד לקרטל "הגדול", נושא האישום הראשון. הוא גם לא היה צד לפרסום מחירון מתואם נוסף שנעשה ב</w:t>
      </w:r>
      <w:r>
        <w:rPr>
          <w:rFonts w:hint="cs"/>
          <w:position w:val="4"/>
          <w:rtl/>
        </w:rPr>
        <w:t>-</w:t>
      </w:r>
      <w:r>
        <w:rPr>
          <w:rFonts w:hint="cs"/>
          <w:rtl/>
        </w:rPr>
        <w:t>1.11.1994 (מחירון זה הוא נושא האישום החמישי, שהמערערים בתיק שלפנינו לא הואשמו בו); הוא פרש מההסדר בינו לבין פחימה ביוזמתו; אביטל, שהוא חבר קיבוץ, לא הפיק רווח אישי מההסדר הכובל; הוא שיתף פעולה באופן מלא בחקירתו ברשות להגבלים עסקיים; עברו נקי; הרשעתו תפגע בקידומו המקצועי בתנועה הקיבוצית; עברו תשע שנים מאז המעשה נושא האישום.</w:t>
      </w:r>
    </w:p>
    <w:p w:rsidR="00F706F7" w:rsidRDefault="00F706F7">
      <w:pPr>
        <w:pStyle w:val="a"/>
        <w:rPr>
          <w:rFonts w:hint="cs"/>
          <w:rtl/>
        </w:rPr>
      </w:pPr>
      <w:r>
        <w:rPr>
          <w:rFonts w:hint="cs"/>
          <w:rtl/>
        </w:rPr>
        <w:t>19.</w:t>
      </w:r>
      <w:r>
        <w:rPr>
          <w:rFonts w:hint="cs"/>
          <w:rtl/>
        </w:rPr>
        <w:tab/>
        <w:t>כל הטענות הללו (שהועלו גם, לחלופין, בערעור על חומרת העונש) אין בהן, לדעתי, כדי להצדיק הימנעות מהרשעה או ביטול ההרשעה. הכלל לגבי בגירים הוא הרשעה, וההימנעות ממנה היא החריג (ראו והשוו לפסק</w:t>
      </w:r>
      <w:r>
        <w:rPr>
          <w:rFonts w:hint="cs"/>
          <w:position w:val="4"/>
          <w:rtl/>
        </w:rPr>
        <w:t>-</w:t>
      </w:r>
      <w:r>
        <w:rPr>
          <w:rFonts w:hint="cs"/>
          <w:rtl/>
        </w:rPr>
        <w:t xml:space="preserve">הדין המנחה בעניין הימנעות מהרשעה – </w:t>
      </w:r>
      <w:hyperlink r:id="rId67" w:history="1">
        <w:r w:rsidR="00FC41C2" w:rsidRPr="00FC41C2">
          <w:rPr>
            <w:rStyle w:val="Hyperlink"/>
            <w:rFonts w:cs="Miriam"/>
            <w:szCs w:val="19"/>
            <w:rtl/>
          </w:rPr>
          <w:t>ע"פ 2083/96</w:t>
        </w:r>
      </w:hyperlink>
      <w:r>
        <w:rPr>
          <w:rFonts w:cs="Miriam"/>
          <w:szCs w:val="19"/>
          <w:rtl/>
        </w:rPr>
        <w:t xml:space="preserve"> כתב נ' מדינת ישראל</w:t>
      </w:r>
      <w:r>
        <w:rPr>
          <w:rFonts w:cs="Miriam" w:hint="cs"/>
          <w:szCs w:val="19"/>
          <w:rtl/>
        </w:rPr>
        <w:t xml:space="preserve"> </w:t>
      </w:r>
      <w:r>
        <w:rPr>
          <w:rFonts w:hint="cs"/>
          <w:rtl/>
        </w:rPr>
        <w:t xml:space="preserve">(להלן – פרשת </w:t>
      </w:r>
      <w:r>
        <w:rPr>
          <w:rFonts w:cs="Miriam" w:hint="cs"/>
          <w:szCs w:val="19"/>
          <w:rtl/>
        </w:rPr>
        <w:t>כתב [5]</w:t>
      </w:r>
      <w:r>
        <w:rPr>
          <w:rFonts w:hint="cs"/>
          <w:rtl/>
        </w:rPr>
        <w:t xml:space="preserve">)). המורשעים בעבירות על </w:t>
      </w:r>
      <w:hyperlink r:id="rId68" w:history="1">
        <w:r w:rsidR="00FC41C2" w:rsidRPr="00FC41C2">
          <w:rPr>
            <w:rStyle w:val="Hyperlink"/>
            <w:rFonts w:hint="eastAsia"/>
            <w:rtl/>
          </w:rPr>
          <w:t>חוק</w:t>
        </w:r>
        <w:r w:rsidR="00FC41C2" w:rsidRPr="00FC41C2">
          <w:rPr>
            <w:rStyle w:val="Hyperlink"/>
            <w:rtl/>
          </w:rPr>
          <w:t xml:space="preserve"> ההגבלים העסקיים</w:t>
        </w:r>
      </w:hyperlink>
      <w:r>
        <w:rPr>
          <w:rFonts w:hint="cs"/>
          <w:rtl/>
        </w:rPr>
        <w:t xml:space="preserve"> הם לעתים מזומנות אנשים נורמטיביי</w:t>
      </w:r>
      <w:r>
        <w:rPr>
          <w:rFonts w:hint="eastAsia"/>
          <w:rtl/>
        </w:rPr>
        <w:t>ם</w:t>
      </w:r>
      <w:r>
        <w:rPr>
          <w:rFonts w:hint="cs"/>
          <w:rtl/>
        </w:rPr>
        <w:t xml:space="preserve"> בכל תחום אחר וחסרי הרשעות בפלילים. ככלל, הימנעות מהרשעה בכגון דא יש בה משום "איתות" שלילי לציבור. איתות כזה אינו עולה בקנה אחד עם הצורך להחדיר לתודעתם של מנהלי עסקים שעבירות על </w:t>
      </w:r>
      <w:hyperlink r:id="rId69" w:history="1">
        <w:r w:rsidR="00FC41C2" w:rsidRPr="00FC41C2">
          <w:rPr>
            <w:rStyle w:val="Hyperlink"/>
            <w:rFonts w:hint="eastAsia"/>
            <w:rtl/>
          </w:rPr>
          <w:t>חוק</w:t>
        </w:r>
        <w:r w:rsidR="00FC41C2" w:rsidRPr="00FC41C2">
          <w:rPr>
            <w:rStyle w:val="Hyperlink"/>
            <w:rtl/>
          </w:rPr>
          <w:t xml:space="preserve"> ההגבלים העסקיים</w:t>
        </w:r>
      </w:hyperlink>
      <w:r>
        <w:rPr>
          <w:rFonts w:hint="cs"/>
          <w:rtl/>
        </w:rPr>
        <w:t xml:space="preserve"> עבירות "רגילות" הן, שככלל יש להרשיע בגינן.</w:t>
      </w:r>
    </w:p>
    <w:p w:rsidR="00F82D59" w:rsidRDefault="00F706F7">
      <w:pPr>
        <w:pStyle w:val="a"/>
        <w:rPr>
          <w:rFonts w:cs="Miriam"/>
          <w:b/>
          <w:szCs w:val="19"/>
          <w:rtl/>
        </w:rPr>
      </w:pPr>
      <w:r>
        <w:rPr>
          <w:rFonts w:hint="cs"/>
          <w:rtl/>
        </w:rPr>
        <w:t>20.</w:t>
      </w:r>
      <w:r>
        <w:rPr>
          <w:rFonts w:hint="cs"/>
          <w:rtl/>
        </w:rPr>
        <w:tab/>
        <w:t>עם זאת אין לקבוע כלל שלפיו לעולם יימנע בית</w:t>
      </w:r>
      <w:r>
        <w:rPr>
          <w:rFonts w:hint="cs"/>
          <w:position w:val="4"/>
          <w:rtl/>
        </w:rPr>
        <w:t>-</w:t>
      </w:r>
      <w:r>
        <w:rPr>
          <w:rFonts w:hint="cs"/>
          <w:rtl/>
        </w:rPr>
        <w:t xml:space="preserve">המשפט מביטול הרשעה בעבירה על </w:t>
      </w:r>
      <w:hyperlink r:id="rId70" w:history="1">
        <w:r w:rsidR="00FC41C2" w:rsidRPr="00FC41C2">
          <w:rPr>
            <w:rStyle w:val="Hyperlink"/>
            <w:rFonts w:hint="eastAsia"/>
            <w:rtl/>
          </w:rPr>
          <w:t>חוק</w:t>
        </w:r>
        <w:r w:rsidR="00FC41C2" w:rsidRPr="00FC41C2">
          <w:rPr>
            <w:rStyle w:val="Hyperlink"/>
            <w:rtl/>
          </w:rPr>
          <w:t xml:space="preserve"> ההגבלים העסקיים</w:t>
        </w:r>
      </w:hyperlink>
      <w:r>
        <w:rPr>
          <w:rFonts w:hint="cs"/>
          <w:rtl/>
        </w:rPr>
        <w:t xml:space="preserve"> (השוו לדברי </w:t>
      </w:r>
      <w:r>
        <w:rPr>
          <w:rFonts w:cs="Miriam" w:hint="cs"/>
          <w:szCs w:val="19"/>
          <w:rtl/>
        </w:rPr>
        <w:t>המשנה לנשיא ש' לוין</w:t>
      </w:r>
      <w:r>
        <w:rPr>
          <w:rFonts w:hint="cs"/>
          <w:rtl/>
        </w:rPr>
        <w:t xml:space="preserve"> </w:t>
      </w:r>
      <w:r>
        <w:rPr>
          <w:rFonts w:hint="cs"/>
          <w:b/>
          <w:sz w:val="24"/>
          <w:rtl/>
        </w:rPr>
        <w:t>בפרשת</w:t>
      </w:r>
      <w:r>
        <w:rPr>
          <w:rFonts w:cs="Miriam" w:hint="cs"/>
          <w:b/>
          <w:szCs w:val="19"/>
          <w:rtl/>
        </w:rPr>
        <w:t xml:space="preserve"> </w:t>
      </w:r>
      <w:r>
        <w:rPr>
          <w:rFonts w:cs="Miriam"/>
          <w:b/>
          <w:szCs w:val="19"/>
          <w:rtl/>
        </w:rPr>
        <w:br/>
      </w:r>
    </w:p>
    <w:p w:rsidR="00F706F7" w:rsidRDefault="00F82D59" w:rsidP="00F82D59">
      <w:pPr>
        <w:pStyle w:val="a"/>
        <w:ind w:firstLine="0"/>
        <w:rPr>
          <w:rFonts w:hint="cs"/>
          <w:rtl/>
        </w:rPr>
      </w:pPr>
      <w:r>
        <w:rPr>
          <w:rFonts w:cs="Miriam"/>
          <w:b/>
          <w:szCs w:val="19"/>
          <w:rtl/>
        </w:rPr>
        <w:br w:type="page"/>
      </w:r>
      <w:r w:rsidR="00F706F7">
        <w:rPr>
          <w:rFonts w:cs="Miriam" w:hint="cs"/>
          <w:b/>
          <w:szCs w:val="19"/>
          <w:rtl/>
        </w:rPr>
        <w:t>כתב [5]</w:t>
      </w:r>
      <w:r w:rsidR="00F706F7">
        <w:rPr>
          <w:rFonts w:hint="cs"/>
          <w:rtl/>
        </w:rPr>
        <w:t>). בית</w:t>
      </w:r>
      <w:r w:rsidR="00F706F7">
        <w:rPr>
          <w:rFonts w:hint="cs"/>
          <w:position w:val="4"/>
          <w:rtl/>
        </w:rPr>
        <w:t>-</w:t>
      </w:r>
      <w:r w:rsidR="00F706F7">
        <w:rPr>
          <w:rFonts w:hint="cs"/>
          <w:rtl/>
        </w:rPr>
        <w:t>המשפט חייב תמיד, כשהוא מתבקש לבטל הרשעה, להפעיל את שיקול</w:t>
      </w:r>
      <w:r w:rsidR="00F706F7">
        <w:rPr>
          <w:rFonts w:hint="cs"/>
          <w:position w:val="4"/>
          <w:rtl/>
        </w:rPr>
        <w:t>-</w:t>
      </w:r>
      <w:r w:rsidR="00F706F7">
        <w:rPr>
          <w:rFonts w:hint="cs"/>
          <w:rtl/>
        </w:rPr>
        <w:t>דעתו ולשקול את כל נסיבות העניין. כך עשה בית</w:t>
      </w:r>
      <w:r w:rsidR="00F706F7">
        <w:rPr>
          <w:rFonts w:hint="cs"/>
          <w:position w:val="4"/>
          <w:rtl/>
        </w:rPr>
        <w:t>-</w:t>
      </w:r>
      <w:r w:rsidR="00F706F7">
        <w:rPr>
          <w:rFonts w:hint="cs"/>
          <w:rtl/>
        </w:rPr>
        <w:t>המשפט בענייננו, ולדעתי הפעיל הוא כהלכה את שיקול</w:t>
      </w:r>
      <w:r w:rsidR="00F706F7">
        <w:rPr>
          <w:rFonts w:hint="cs"/>
          <w:position w:val="4"/>
          <w:rtl/>
        </w:rPr>
        <w:t>-</w:t>
      </w:r>
      <w:r w:rsidR="00F706F7">
        <w:rPr>
          <w:rFonts w:hint="cs"/>
          <w:rtl/>
        </w:rPr>
        <w:t>דעתו: אכן, אביטל נמנע מלהצטרף לקרטל שיצר הרץ, ואולם "הצלחתו" של הקרטל האמור מותנית בשיתוף פעולה של כל הגורמים הדומיננטיי</w:t>
      </w:r>
      <w:r w:rsidR="00F706F7">
        <w:rPr>
          <w:rFonts w:hint="eastAsia"/>
          <w:rtl/>
        </w:rPr>
        <w:t>ם</w:t>
      </w:r>
      <w:r w:rsidR="00F706F7">
        <w:rPr>
          <w:rFonts w:hint="cs"/>
          <w:rtl/>
        </w:rPr>
        <w:t xml:space="preserve"> בשוק הצנרת. ההסדר הכובל, נושא האישום השלישי (שאביטל לא היה צד לו), וההסדר הכובל, נושא האישום הרביעי, היו תנאי להצלחת ההסדר הכובל שיצר הרץ. ההסדר שיצר הרץ היה גווע מאליו, ומחירי השוק היו צונחים אילו היו יצרנים גדולים "שוברים את השוק". נתח השוק של מצרפלס היה גדול, ומכאן השפעה דומיננטית שהייתה יכולה להשפיע על מחירי שוק הצנרת.</w:t>
      </w:r>
    </w:p>
    <w:p w:rsidR="00F706F7" w:rsidRDefault="00F706F7">
      <w:pPr>
        <w:pStyle w:val="a"/>
        <w:rPr>
          <w:rFonts w:hint="cs"/>
          <w:rtl/>
        </w:rPr>
      </w:pPr>
      <w:r>
        <w:rPr>
          <w:rFonts w:hint="cs"/>
          <w:rtl/>
        </w:rPr>
        <w:t>21.</w:t>
      </w:r>
      <w:r>
        <w:rPr>
          <w:rFonts w:hint="cs"/>
          <w:rtl/>
        </w:rPr>
        <w:tab/>
        <w:t>ועוד: אביטל נושא היום תפקיד נכבד, תפקיד של מזכיר קיבוץ. אין חשש של ממש שיהיה מובטל חלילה בגין הרשעתו. גם אם ייעצר קידומו במידת מה, אין הדבר מצדיק הימנעות מהרשעה. נכון הוא שחלפו שנים רבות מאז המעשים נושא האישום, אולם מדובר במשפט מורכב, רב משתתפים ורב אישומים. אביטל היה יכול להודות בתחילת הדרך ובכך לקצר את משך הזמן עד שתתיישן הרשעתו או תימחק.</w:t>
      </w:r>
    </w:p>
    <w:p w:rsidR="00F706F7" w:rsidRDefault="00F706F7">
      <w:pPr>
        <w:pStyle w:val="a"/>
        <w:rPr>
          <w:rFonts w:hint="cs"/>
          <w:rtl/>
        </w:rPr>
      </w:pPr>
      <w:r>
        <w:rPr>
          <w:rFonts w:hint="cs"/>
          <w:rtl/>
        </w:rPr>
        <w:t>22.</w:t>
      </w:r>
      <w:r>
        <w:rPr>
          <w:rFonts w:hint="cs"/>
          <w:rtl/>
        </w:rPr>
        <w:tab/>
        <w:t>על</w:t>
      </w:r>
      <w:r>
        <w:rPr>
          <w:rFonts w:hint="cs"/>
          <w:position w:val="4"/>
          <w:rtl/>
        </w:rPr>
        <w:t>-</w:t>
      </w:r>
      <w:r>
        <w:rPr>
          <w:rFonts w:hint="cs"/>
          <w:rtl/>
        </w:rPr>
        <w:t>כן דעתי היא כי יש לאשר את מסקנתה של הערכאה הראשונה שנמנעה מלבטל את הרשעתו של אביטל.</w:t>
      </w:r>
    </w:p>
    <w:p w:rsidR="00F706F7" w:rsidRDefault="00F706F7">
      <w:pPr>
        <w:pStyle w:val="a"/>
        <w:rPr>
          <w:rFonts w:hint="cs"/>
          <w:rtl/>
        </w:rPr>
      </w:pPr>
      <w:r>
        <w:rPr>
          <w:rFonts w:cs="Miriam" w:hint="cs"/>
          <w:b/>
          <w:sz w:val="28"/>
          <w:szCs w:val="19"/>
          <w:rtl/>
        </w:rPr>
        <w:t>ערעוריהם של הרץ, מצרפלס ואביטל על חומרת העונש</w:t>
      </w:r>
    </w:p>
    <w:p w:rsidR="00F706F7" w:rsidRDefault="00F706F7">
      <w:pPr>
        <w:pStyle w:val="a"/>
        <w:rPr>
          <w:rFonts w:hint="cs"/>
          <w:rtl/>
        </w:rPr>
      </w:pPr>
      <w:r>
        <w:rPr>
          <w:rFonts w:hint="cs"/>
          <w:rtl/>
        </w:rPr>
        <w:t>23.</w:t>
      </w:r>
      <w:r>
        <w:rPr>
          <w:rFonts w:hint="cs"/>
          <w:rtl/>
        </w:rPr>
        <w:tab/>
        <w:t>אציע לחבריי לדחות גם את הערעורים על חומרת העונש. בית</w:t>
      </w:r>
      <w:r>
        <w:rPr>
          <w:rFonts w:hint="cs"/>
          <w:position w:val="4"/>
          <w:rtl/>
        </w:rPr>
        <w:t>-</w:t>
      </w:r>
      <w:r>
        <w:rPr>
          <w:rFonts w:hint="cs"/>
          <w:rtl/>
        </w:rPr>
        <w:t>המשפט קבע מדרג של עונשים לגבי הנאשמים השונים שנדונו לפניו. לא אעמוד למנות כרוכל את עונשיהם של נאשמים אחרים שלא ערערו. בקובעו את מדרג הענישה שקל בית</w:t>
      </w:r>
      <w:r>
        <w:rPr>
          <w:rFonts w:hint="cs"/>
          <w:position w:val="4"/>
          <w:rtl/>
        </w:rPr>
        <w:t>-</w:t>
      </w:r>
      <w:r>
        <w:rPr>
          <w:rFonts w:hint="cs"/>
          <w:rtl/>
        </w:rPr>
        <w:t>המשפט את כל העניינים שהיה צריך לשקול. סקרתי שיקולים שונים, חלקם לחומרה וחלקם לקולה, לגבי אביטל במסגרת הדיון בסירובו של בית</w:t>
      </w:r>
      <w:r>
        <w:rPr>
          <w:rFonts w:hint="cs"/>
          <w:position w:val="4"/>
          <w:rtl/>
        </w:rPr>
        <w:t>-</w:t>
      </w:r>
      <w:r>
        <w:rPr>
          <w:rFonts w:hint="cs"/>
          <w:rtl/>
        </w:rPr>
        <w:t>המשפט לבטל את הרשעתו. הרץ היה אביו</w:t>
      </w:r>
      <w:r>
        <w:rPr>
          <w:rFonts w:hint="cs"/>
          <w:position w:val="4"/>
          <w:rtl/>
        </w:rPr>
        <w:t>-</w:t>
      </w:r>
      <w:r>
        <w:rPr>
          <w:rFonts w:hint="cs"/>
          <w:rtl/>
        </w:rPr>
        <w:t>מולידו של ההסדר הכובל מיום 1.7.1994. בכך פגע קשות בתחרות בענף הצנרת. הוא הורשע בכמה אישומים. לזכותו יש לזקוף את העובדה שהוא פרש מן העניין אחרי שיצר את ההסדר, יהיו טעמיו לכך אשר יהיו. בהיותו אביו של ההסדר עומד הרץ בראש מדרג הענישה. הרץ ומי שקנו ממנו את אהליך יעקב נדונו לשישה חודשי עבודות שירות. אביטל נדון כזכור לשני חודשי עבודות שירות.</w:t>
      </w:r>
    </w:p>
    <w:p w:rsidR="00F82D59" w:rsidRDefault="00F706F7">
      <w:pPr>
        <w:pStyle w:val="a"/>
        <w:rPr>
          <w:rtl/>
        </w:rPr>
      </w:pPr>
      <w:r>
        <w:rPr>
          <w:rFonts w:hint="cs"/>
          <w:rtl/>
        </w:rPr>
        <w:t>24.</w:t>
      </w:r>
      <w:r>
        <w:rPr>
          <w:rFonts w:hint="cs"/>
          <w:rtl/>
        </w:rPr>
        <w:tab/>
        <w:t xml:space="preserve">לדעתי, צדקה הערכאה הראשונה כשהטילה על הרץ ועל אביטל מאסר בדרך של עבודות שירות. בעבירות על הסדרים כובלים הוטלו לראשונה עונשי מאסר בדרך </w:t>
      </w:r>
    </w:p>
    <w:p w:rsidR="00F706F7" w:rsidRDefault="00F82D59" w:rsidP="00F82D59">
      <w:pPr>
        <w:pStyle w:val="a"/>
        <w:ind w:firstLine="0"/>
        <w:rPr>
          <w:rFonts w:hint="cs"/>
          <w:rtl/>
        </w:rPr>
      </w:pPr>
      <w:r>
        <w:rPr>
          <w:rtl/>
        </w:rPr>
        <w:br w:type="page"/>
      </w:r>
      <w:r w:rsidR="00F706F7">
        <w:rPr>
          <w:rFonts w:hint="cs"/>
          <w:rtl/>
        </w:rPr>
        <w:t xml:space="preserve">של עבודות שירות בפרשה נושא </w:t>
      </w:r>
      <w:hyperlink r:id="rId71" w:history="1">
        <w:r w:rsidR="00FC41C2" w:rsidRPr="00FC41C2">
          <w:rPr>
            <w:rStyle w:val="Hyperlink"/>
            <w:rFonts w:cs="Miriam" w:hint="eastAsia"/>
            <w:szCs w:val="19"/>
            <w:rtl/>
          </w:rPr>
          <w:t>ע</w:t>
        </w:r>
        <w:r w:rsidR="00FC41C2" w:rsidRPr="00FC41C2">
          <w:rPr>
            <w:rStyle w:val="Hyperlink"/>
            <w:rFonts w:cs="Miriam"/>
            <w:szCs w:val="19"/>
            <w:rtl/>
          </w:rPr>
          <w:t>"פ 2754/97</w:t>
        </w:r>
      </w:hyperlink>
      <w:r w:rsidR="00F706F7">
        <w:rPr>
          <w:rFonts w:cs="Miriam" w:hint="cs"/>
          <w:szCs w:val="19"/>
          <w:rtl/>
        </w:rPr>
        <w:t xml:space="preserve"> צור נ' מדינת ישראל [6]</w:t>
      </w:r>
      <w:r w:rsidR="00F706F7">
        <w:rPr>
          <w:rFonts w:hint="cs"/>
          <w:rtl/>
        </w:rPr>
        <w:t>. יש להדגיש כי בפרשה זו, שלא כמו בעניין נושא הערעורים שלפנינו, נעשו הסדרי טיעון. העבירות בפרשה ההיא נעברו בשנים 1994-1987. בית</w:t>
      </w:r>
      <w:r w:rsidR="00F706F7">
        <w:rPr>
          <w:rFonts w:hint="cs"/>
          <w:position w:val="4"/>
          <w:rtl/>
        </w:rPr>
        <w:t>-</w:t>
      </w:r>
      <w:r w:rsidR="00F706F7">
        <w:rPr>
          <w:rFonts w:hint="cs"/>
          <w:rtl/>
        </w:rPr>
        <w:t>משפט זה הדגיש בפסק</w:t>
      </w:r>
      <w:r w:rsidR="00F706F7">
        <w:rPr>
          <w:rFonts w:hint="cs"/>
          <w:position w:val="4"/>
          <w:rtl/>
        </w:rPr>
        <w:t>-</w:t>
      </w:r>
      <w:r w:rsidR="00F706F7">
        <w:rPr>
          <w:rFonts w:hint="cs"/>
          <w:rtl/>
        </w:rPr>
        <w:t xml:space="preserve">דינו בערעור את העובדה שהעבירות נעברו בתקופה שבה לא הייתה מדיניות אכיפה ממשית בתחום ההסדרים הכובלים: </w:t>
      </w:r>
    </w:p>
    <w:p w:rsidR="00F706F7" w:rsidRDefault="00F706F7">
      <w:pPr>
        <w:pStyle w:val="a4"/>
        <w:spacing w:after="120"/>
        <w:rPr>
          <w:rtl/>
        </w:rPr>
      </w:pPr>
      <w:r>
        <w:rPr>
          <w:rFonts w:hint="cs"/>
          <w:rtl/>
        </w:rPr>
        <w:t>"</w:t>
      </w:r>
      <w:r>
        <w:rPr>
          <w:rtl/>
        </w:rPr>
        <w:t xml:space="preserve">כפי שציין בית המשפט, בתקופה שבה נעברו העבירות, או לפחות במרבית התקופה, לא הופעלה על ידי הרשויות מדיניות אכיפה ממשית בתחום ההסדרים הכובלים, והרשויות, לרבות היועץ המשפטי לממשלה, נטו במקרים רבים להקל עם עברייני </w:t>
      </w:r>
      <w:hyperlink r:id="rId72" w:history="1">
        <w:r w:rsidR="00FC41C2" w:rsidRPr="00FC41C2">
          <w:rPr>
            <w:rStyle w:val="Hyperlink"/>
            <w:rtl/>
          </w:rPr>
          <w:t>חוק ההגבלים העסקיים</w:t>
        </w:r>
      </w:hyperlink>
      <w:r>
        <w:rPr>
          <w:rtl/>
        </w:rPr>
        <w:t xml:space="preserve"> ולא למצות עמם את הדין. </w:t>
      </w:r>
    </w:p>
    <w:p w:rsidR="00F706F7" w:rsidRDefault="00F706F7">
      <w:pPr>
        <w:pStyle w:val="a4"/>
        <w:spacing w:after="120"/>
        <w:rPr>
          <w:rFonts w:hint="cs"/>
          <w:rtl/>
        </w:rPr>
      </w:pPr>
      <w:r>
        <w:rPr>
          <w:rFonts w:hint="cs"/>
          <w:rtl/>
        </w:rPr>
        <w:t>...</w:t>
      </w:r>
    </w:p>
    <w:p w:rsidR="00F706F7" w:rsidRDefault="00F706F7">
      <w:pPr>
        <w:pStyle w:val="a4"/>
        <w:rPr>
          <w:rFonts w:hint="cs"/>
          <w:rtl/>
        </w:rPr>
      </w:pPr>
      <w:r>
        <w:rPr>
          <w:rtl/>
        </w:rPr>
        <w:t>נזכיר גם, שעיסקת הטיעון בין הצדדים, היוותה עליית מדרגה מבחינת חומרת הענישה. כוונתנו היא לכך, שלראשונה הוטלו עונשי מאסר בפועל על מנהלי התאגידים המעורבים</w:t>
      </w:r>
      <w:r>
        <w:rPr>
          <w:rFonts w:hint="cs"/>
          <w:rtl/>
        </w:rPr>
        <w:t>".</w:t>
      </w:r>
    </w:p>
    <w:p w:rsidR="00F706F7" w:rsidRDefault="00F706F7">
      <w:pPr>
        <w:pStyle w:val="a"/>
        <w:rPr>
          <w:rFonts w:hint="cs"/>
          <w:rtl/>
        </w:rPr>
      </w:pPr>
      <w:r>
        <w:rPr>
          <w:rFonts w:hint="cs"/>
          <w:rtl/>
        </w:rPr>
        <w:t>25.</w:t>
      </w:r>
      <w:r>
        <w:rPr>
          <w:rFonts w:hint="cs"/>
          <w:rtl/>
        </w:rPr>
        <w:tab/>
        <w:t>הסניגורים – עורכי</w:t>
      </w:r>
      <w:r>
        <w:rPr>
          <w:rFonts w:hint="cs"/>
          <w:position w:val="4"/>
          <w:rtl/>
        </w:rPr>
        <w:t>-</w:t>
      </w:r>
      <w:r>
        <w:rPr>
          <w:rFonts w:hint="cs"/>
          <w:rtl/>
        </w:rPr>
        <w:t>הדין בויאר וליבאי – מצביעים על כך שבענייננו נעברו העבירות בשלהי תקופת אי</w:t>
      </w:r>
      <w:r>
        <w:rPr>
          <w:rFonts w:hint="cs"/>
          <w:position w:val="4"/>
          <w:rtl/>
        </w:rPr>
        <w:t>-</w:t>
      </w:r>
      <w:r>
        <w:rPr>
          <w:rFonts w:hint="cs"/>
          <w:rtl/>
        </w:rPr>
        <w:t>האכיפה האפקטיבית, ואולם מהראיות עולה, כפי שקבע בית</w:t>
      </w:r>
      <w:r>
        <w:rPr>
          <w:rFonts w:hint="cs"/>
          <w:position w:val="4"/>
          <w:rtl/>
        </w:rPr>
        <w:t>-</w:t>
      </w:r>
      <w:r>
        <w:rPr>
          <w:rFonts w:hint="cs"/>
          <w:rtl/>
        </w:rPr>
        <w:t>המשפט, שהנאשמים היו מודעים לנושא ההגבלים העסקיים ולבעייתיות שבהתנהגותם. עם זאת ציין בית</w:t>
      </w:r>
      <w:r>
        <w:rPr>
          <w:rFonts w:hint="cs"/>
          <w:position w:val="4"/>
          <w:rtl/>
        </w:rPr>
        <w:t>-</w:t>
      </w:r>
      <w:r>
        <w:rPr>
          <w:rFonts w:hint="cs"/>
          <w:rtl/>
        </w:rPr>
        <w:t>המשפט, כשיקול לקולה, את העובדה שהעבירות בוצעו בדמדומי תקופת תת</w:t>
      </w:r>
      <w:r>
        <w:rPr>
          <w:rFonts w:hint="cs"/>
          <w:position w:val="4"/>
          <w:rtl/>
        </w:rPr>
        <w:t>-</w:t>
      </w:r>
      <w:r>
        <w:rPr>
          <w:rFonts w:hint="cs"/>
          <w:rtl/>
        </w:rPr>
        <w:t>האכיפה בתחום האמור.</w:t>
      </w:r>
    </w:p>
    <w:p w:rsidR="00F706F7" w:rsidRDefault="00F706F7">
      <w:pPr>
        <w:pStyle w:val="a"/>
        <w:rPr>
          <w:rFonts w:hint="cs"/>
          <w:rtl/>
        </w:rPr>
      </w:pPr>
      <w:r>
        <w:rPr>
          <w:rFonts w:hint="cs"/>
          <w:rtl/>
        </w:rPr>
        <w:t>26.</w:t>
      </w:r>
      <w:r>
        <w:rPr>
          <w:rFonts w:hint="cs"/>
          <w:rtl/>
        </w:rPr>
        <w:tab/>
        <w:t>על דרך העיקרון, זאת נחזור ונשנן, העונש הראוי לעבירות מסוג העבירות שבהן הורשעו המערערים הוא עונש של מאסר בפועל, שלא בדרך של עבודות שירות. עמד על כך בית</w:t>
      </w:r>
      <w:r>
        <w:rPr>
          <w:rFonts w:hint="cs"/>
          <w:position w:val="4"/>
          <w:rtl/>
        </w:rPr>
        <w:t>-</w:t>
      </w:r>
      <w:r>
        <w:rPr>
          <w:rFonts w:hint="cs"/>
          <w:rtl/>
        </w:rPr>
        <w:t>המשפט ב</w:t>
      </w:r>
      <w:hyperlink r:id="rId73" w:history="1">
        <w:r w:rsidR="00FC41C2" w:rsidRPr="00FC41C2">
          <w:rPr>
            <w:rStyle w:val="Hyperlink"/>
            <w:rFonts w:cs="Miriam" w:hint="eastAsia"/>
            <w:szCs w:val="19"/>
            <w:rtl/>
          </w:rPr>
          <w:t>ע</w:t>
        </w:r>
        <w:r w:rsidR="00FC41C2" w:rsidRPr="00FC41C2">
          <w:rPr>
            <w:rStyle w:val="Hyperlink"/>
            <w:rFonts w:cs="Miriam"/>
            <w:szCs w:val="19"/>
            <w:rtl/>
          </w:rPr>
          <w:t>"פ 2919/02</w:t>
        </w:r>
      </w:hyperlink>
      <w:r>
        <w:rPr>
          <w:rFonts w:cs="Miriam" w:hint="cs"/>
          <w:szCs w:val="19"/>
          <w:rtl/>
        </w:rPr>
        <w:t xml:space="preserve"> אלוני נ' מדינת ישראל [7]</w:t>
      </w:r>
      <w:r>
        <w:rPr>
          <w:rFonts w:hint="cs"/>
          <w:rtl/>
        </w:rPr>
        <w:t xml:space="preserve">, אמנם בנסיבות חמורות עד למאוד של קרטל שפעל 14 שנים. המערער שם נדון לתשעה חודשי מאסר </w:t>
      </w:r>
      <w:r>
        <w:rPr>
          <w:rFonts w:cs="Miriam" w:hint="cs"/>
          <w:b/>
          <w:szCs w:val="19"/>
          <w:rtl/>
        </w:rPr>
        <w:t>בפועל</w:t>
      </w:r>
      <w:r>
        <w:rPr>
          <w:rFonts w:hint="cs"/>
          <w:rtl/>
        </w:rPr>
        <w:t>. שני הצדדים ערערו על גזר</w:t>
      </w:r>
      <w:r>
        <w:rPr>
          <w:rFonts w:hint="cs"/>
          <w:position w:val="4"/>
          <w:rtl/>
        </w:rPr>
        <w:t>-</w:t>
      </w:r>
      <w:r>
        <w:rPr>
          <w:rFonts w:hint="cs"/>
          <w:rtl/>
        </w:rPr>
        <w:t>הדין. בית</w:t>
      </w:r>
      <w:r>
        <w:rPr>
          <w:rFonts w:hint="cs"/>
          <w:position w:val="4"/>
          <w:rtl/>
        </w:rPr>
        <w:t>-</w:t>
      </w:r>
      <w:r>
        <w:rPr>
          <w:rFonts w:hint="cs"/>
          <w:rtl/>
        </w:rPr>
        <w:t xml:space="preserve">המשפט העליון הביא בחשבון לקולה נסיבות אישיות קשות של המערער ודחה את ערעוריהם של שני הצדדים. וכך ציינה </w:t>
      </w:r>
      <w:r>
        <w:rPr>
          <w:rFonts w:cs="Miriam" w:hint="cs"/>
          <w:szCs w:val="19"/>
          <w:rtl/>
        </w:rPr>
        <w:t>השופטת דורנר</w:t>
      </w:r>
      <w:r>
        <w:rPr>
          <w:rFonts w:hint="cs"/>
          <w:rtl/>
        </w:rPr>
        <w:t>:</w:t>
      </w:r>
    </w:p>
    <w:p w:rsidR="00F82D59" w:rsidRDefault="00F706F7">
      <w:pPr>
        <w:pStyle w:val="a4"/>
        <w:rPr>
          <w:rtl/>
        </w:rPr>
      </w:pPr>
      <w:r>
        <w:rPr>
          <w:rFonts w:hint="cs"/>
          <w:rtl/>
        </w:rPr>
        <w:t>"</w:t>
      </w:r>
      <w:r>
        <w:rPr>
          <w:rtl/>
        </w:rPr>
        <w:t xml:space="preserve">בעקרון, העונש ההולם בעבירות כלכליות הוא מאסר בפועל. מבצעיהן של עבירות כאלה </w:t>
      </w:r>
      <w:r>
        <w:rPr>
          <w:rFonts w:hint="cs"/>
          <w:rtl/>
        </w:rPr>
        <w:t>–</w:t>
      </w:r>
      <w:r>
        <w:rPr>
          <w:rtl/>
        </w:rPr>
        <w:t xml:space="preserve"> אנשים שומרי</w:t>
      </w:r>
      <w:r>
        <w:rPr>
          <w:position w:val="4"/>
          <w:rtl/>
        </w:rPr>
        <w:t>-</w:t>
      </w:r>
      <w:r>
        <w:rPr>
          <w:rtl/>
        </w:rPr>
        <w:t>חוק בדרך</w:t>
      </w:r>
      <w:r>
        <w:rPr>
          <w:position w:val="4"/>
          <w:rtl/>
        </w:rPr>
        <w:t>-</w:t>
      </w:r>
      <w:r>
        <w:rPr>
          <w:rtl/>
        </w:rPr>
        <w:t>כלל, המוכרים בקהילותיהם כאנשים נשואי</w:t>
      </w:r>
      <w:r>
        <w:rPr>
          <w:position w:val="4"/>
          <w:rtl/>
        </w:rPr>
        <w:t>-</w:t>
      </w:r>
      <w:r>
        <w:rPr>
          <w:rtl/>
        </w:rPr>
        <w:t xml:space="preserve">פנים </w:t>
      </w:r>
      <w:r>
        <w:rPr>
          <w:rFonts w:hint="cs"/>
          <w:rtl/>
        </w:rPr>
        <w:t>–</w:t>
      </w:r>
      <w:r>
        <w:rPr>
          <w:rtl/>
        </w:rPr>
        <w:t xml:space="preserve"> אינם פועלים מתוך מצוקה כלכלית או סוציאלית, </w:t>
      </w:r>
    </w:p>
    <w:p w:rsidR="00F706F7" w:rsidRDefault="00F82D59">
      <w:pPr>
        <w:pStyle w:val="a4"/>
        <w:rPr>
          <w:rFonts w:hint="cs"/>
          <w:rtl/>
        </w:rPr>
      </w:pPr>
      <w:r>
        <w:rPr>
          <w:rtl/>
        </w:rPr>
        <w:br w:type="page"/>
      </w:r>
      <w:r w:rsidR="00F706F7">
        <w:rPr>
          <w:rtl/>
        </w:rPr>
        <w:t>וכל מטרתם היא הפקת רווחים קלים על</w:t>
      </w:r>
      <w:r w:rsidR="00F706F7">
        <w:rPr>
          <w:position w:val="4"/>
          <w:rtl/>
        </w:rPr>
        <w:t>-</w:t>
      </w:r>
      <w:r w:rsidR="00F706F7">
        <w:rPr>
          <w:rtl/>
        </w:rPr>
        <w:t>חשבון הציבור. לעונש של מאסר בפועל אפקט מרתיע במיוחד כלפי מגזר עברייני זה</w:t>
      </w:r>
      <w:r w:rsidR="00F706F7">
        <w:rPr>
          <w:rFonts w:hint="cs"/>
          <w:rtl/>
        </w:rPr>
        <w:t>"</w:t>
      </w:r>
      <w:r w:rsidR="00F706F7">
        <w:rPr>
          <w:rtl/>
        </w:rPr>
        <w:t xml:space="preserve">. </w:t>
      </w:r>
    </w:p>
    <w:p w:rsidR="00F706F7" w:rsidRDefault="00F706F7">
      <w:pPr>
        <w:pStyle w:val="a"/>
        <w:rPr>
          <w:rFonts w:hint="cs"/>
          <w:rtl/>
        </w:rPr>
      </w:pPr>
      <w:r>
        <w:rPr>
          <w:rFonts w:hint="cs"/>
          <w:rtl/>
        </w:rPr>
        <w:t>27.</w:t>
      </w:r>
      <w:r>
        <w:rPr>
          <w:rFonts w:hint="cs"/>
          <w:rtl/>
        </w:rPr>
        <w:tab/>
        <w:t xml:space="preserve">הערכאה הראשונה בענייננו נתנה משקל למועד שבו בוצעה העבירה, למודעות </w:t>
      </w:r>
      <w:r>
        <w:rPr>
          <w:rFonts w:cs="Miriam" w:hint="cs"/>
          <w:b/>
          <w:szCs w:val="19"/>
          <w:rtl/>
        </w:rPr>
        <w:t>של הנאשמים</w:t>
      </w:r>
      <w:r>
        <w:rPr>
          <w:rFonts w:hint="cs"/>
          <w:rtl/>
        </w:rPr>
        <w:t xml:space="preserve"> לדיני ההגבלים העסקיים ולמדרג ראוי בין נאשמים שונים. אין בעיניי חשיבות לשאלה אם היה מותר להביא בחשבון הרשעה קודמת מסוימת שהייתה להרץ. כך או כך, העונש שהוטל עליו עונש ראוי הוא. אין הצדקה להתערב בעונשי המאסר בדרך של עבודות שירות שהוטלו על הרץ ועל אביטל.</w:t>
      </w:r>
    </w:p>
    <w:p w:rsidR="00F706F7" w:rsidRDefault="00F706F7">
      <w:pPr>
        <w:pStyle w:val="a"/>
        <w:rPr>
          <w:rFonts w:hint="cs"/>
          <w:rtl/>
        </w:rPr>
      </w:pPr>
      <w:r>
        <w:rPr>
          <w:rFonts w:hint="cs"/>
          <w:rtl/>
        </w:rPr>
        <w:t>28.</w:t>
      </w:r>
      <w:r>
        <w:rPr>
          <w:rFonts w:hint="cs"/>
          <w:rtl/>
        </w:rPr>
        <w:tab/>
        <w:t>גם לעניין הקנסות שהוטלו (600,000 ש</w:t>
      </w:r>
      <w:r>
        <w:rPr>
          <w:rtl/>
        </w:rPr>
        <w:t>"</w:t>
      </w:r>
      <w:r>
        <w:rPr>
          <w:rFonts w:hint="cs"/>
          <w:rtl/>
        </w:rPr>
        <w:t>ח לגבי מצרפלס; 50,000 ש</w:t>
      </w:r>
      <w:r>
        <w:rPr>
          <w:rtl/>
        </w:rPr>
        <w:t>"</w:t>
      </w:r>
      <w:r>
        <w:rPr>
          <w:rFonts w:hint="cs"/>
          <w:rtl/>
        </w:rPr>
        <w:t>ח לגבי הרץ ו</w:t>
      </w:r>
      <w:r>
        <w:rPr>
          <w:rFonts w:hint="cs"/>
          <w:position w:val="4"/>
          <w:rtl/>
        </w:rPr>
        <w:t>-</w:t>
      </w:r>
      <w:r>
        <w:rPr>
          <w:rFonts w:hint="cs"/>
          <w:rtl/>
        </w:rPr>
        <w:t>35,000 ש</w:t>
      </w:r>
      <w:r>
        <w:rPr>
          <w:rtl/>
        </w:rPr>
        <w:t>"</w:t>
      </w:r>
      <w:r>
        <w:rPr>
          <w:rFonts w:hint="cs"/>
          <w:rtl/>
        </w:rPr>
        <w:t>ח לגבי אביטל) אין יסוד להתערבותנו, ואין לייחס משקל רב לטענות בדבר מצב כלכלי קשה. על עבירות כלכליות יש להטיל עונשים הפוגעים בכיסם של העבריינים, יחידים וחברות כאחת. לטענות בעניין מצב כלכלי קשה נתן בית</w:t>
      </w:r>
      <w:r>
        <w:rPr>
          <w:rFonts w:hint="cs"/>
          <w:position w:val="4"/>
          <w:rtl/>
        </w:rPr>
        <w:t>-</w:t>
      </w:r>
      <w:r>
        <w:rPr>
          <w:rFonts w:hint="cs"/>
          <w:rtl/>
        </w:rPr>
        <w:t>המשפט משקל לעניין גובה הקנסות ובכך שאיפשר לשלם את הקנסות ב</w:t>
      </w:r>
      <w:r>
        <w:rPr>
          <w:rFonts w:hint="cs"/>
          <w:position w:val="4"/>
          <w:rtl/>
        </w:rPr>
        <w:t>-</w:t>
      </w:r>
      <w:r>
        <w:rPr>
          <w:rFonts w:hint="cs"/>
          <w:rtl/>
        </w:rPr>
        <w:t>30 תשלומים שווים.</w:t>
      </w:r>
    </w:p>
    <w:p w:rsidR="00F706F7" w:rsidRDefault="00F706F7">
      <w:pPr>
        <w:pStyle w:val="a"/>
        <w:rPr>
          <w:rFonts w:cs="Miriam" w:hint="cs"/>
          <w:szCs w:val="19"/>
          <w:rtl/>
        </w:rPr>
      </w:pPr>
      <w:r>
        <w:rPr>
          <w:rFonts w:cs="Miriam" w:hint="cs"/>
          <w:szCs w:val="19"/>
          <w:rtl/>
        </w:rPr>
        <w:t>סיכום</w:t>
      </w:r>
    </w:p>
    <w:p w:rsidR="00F706F7" w:rsidRDefault="00F706F7">
      <w:pPr>
        <w:pStyle w:val="a"/>
        <w:rPr>
          <w:rFonts w:hint="cs"/>
          <w:rtl/>
        </w:rPr>
      </w:pPr>
      <w:r>
        <w:rPr>
          <w:rFonts w:hint="cs"/>
          <w:rtl/>
        </w:rPr>
        <w:t>29.</w:t>
      </w:r>
      <w:r>
        <w:rPr>
          <w:rFonts w:hint="cs"/>
          <w:rtl/>
        </w:rPr>
        <w:tab/>
        <w:t>אציע לחבריי לדחות את שני הערעורים.</w:t>
      </w:r>
    </w:p>
    <w:p w:rsidR="00F706F7" w:rsidRDefault="00F706F7">
      <w:pPr>
        <w:pStyle w:val="a2"/>
        <w:spacing w:before="240"/>
        <w:rPr>
          <w:rFonts w:hint="cs"/>
          <w:rtl/>
        </w:rPr>
      </w:pPr>
      <w:r>
        <w:rPr>
          <w:rFonts w:hint="eastAsia"/>
          <w:rtl/>
        </w:rPr>
        <w:t>השופט</w:t>
      </w:r>
      <w:r>
        <w:rPr>
          <w:rtl/>
        </w:rPr>
        <w:t xml:space="preserve"> מ' </w:t>
      </w:r>
      <w:r>
        <w:rPr>
          <w:rFonts w:hint="cs"/>
          <w:rtl/>
        </w:rPr>
        <w:t>חשין</w:t>
      </w:r>
    </w:p>
    <w:p w:rsidR="00F706F7" w:rsidRDefault="00F706F7">
      <w:pPr>
        <w:pStyle w:val="a"/>
        <w:ind w:firstLine="720"/>
        <w:rPr>
          <w:rFonts w:hint="cs"/>
          <w:rtl/>
        </w:rPr>
      </w:pPr>
      <w:r>
        <w:rPr>
          <w:rFonts w:hint="cs"/>
          <w:rtl/>
        </w:rPr>
        <w:t>אני מסכים.</w:t>
      </w:r>
    </w:p>
    <w:p w:rsidR="00F706F7" w:rsidRDefault="00F706F7">
      <w:pPr>
        <w:pStyle w:val="a2"/>
        <w:spacing w:before="240"/>
        <w:rPr>
          <w:rFonts w:hint="cs"/>
          <w:rtl/>
        </w:rPr>
      </w:pPr>
      <w:r>
        <w:rPr>
          <w:rFonts w:hint="eastAsia"/>
          <w:rtl/>
        </w:rPr>
        <w:t>השופטת</w:t>
      </w:r>
      <w:r>
        <w:rPr>
          <w:rtl/>
        </w:rPr>
        <w:t xml:space="preserve"> </w:t>
      </w:r>
      <w:r>
        <w:rPr>
          <w:rFonts w:hint="cs"/>
          <w:rtl/>
        </w:rPr>
        <w:t>א' פרוקצ'יה</w:t>
      </w:r>
    </w:p>
    <w:p w:rsidR="00F706F7" w:rsidRDefault="00F706F7">
      <w:pPr>
        <w:pStyle w:val="a"/>
        <w:ind w:firstLine="720"/>
        <w:rPr>
          <w:rFonts w:hint="cs"/>
          <w:color w:val="FFFFFF"/>
          <w:sz w:val="4"/>
          <w:szCs w:val="4"/>
          <w:rtl/>
        </w:rPr>
      </w:pPr>
      <w:r>
        <w:rPr>
          <w:rFonts w:hint="cs"/>
          <w:rtl/>
        </w:rPr>
        <w:t>אני מסכימה.</w:t>
      </w:r>
    </w:p>
    <w:p w:rsidR="00F706F7" w:rsidRDefault="00F706F7">
      <w:pPr>
        <w:pStyle w:val="a"/>
        <w:spacing w:before="240" w:after="120"/>
        <w:rPr>
          <w:rFonts w:hint="cs"/>
          <w:rtl/>
        </w:rPr>
      </w:pPr>
      <w:r>
        <w:rPr>
          <w:color w:val="FFFFFF"/>
          <w:sz w:val="4"/>
          <w:szCs w:val="4"/>
          <w:rtl/>
        </w:rPr>
        <w:t>5129371</w:t>
      </w:r>
      <w:r>
        <w:rPr>
          <w:rFonts w:hint="cs"/>
          <w:rtl/>
        </w:rPr>
        <w:t>הוחלט כאמור בפסק</w:t>
      </w:r>
      <w:r>
        <w:rPr>
          <w:rFonts w:hint="cs"/>
          <w:position w:val="4"/>
          <w:rtl/>
        </w:rPr>
        <w:t>-</w:t>
      </w:r>
      <w:r>
        <w:rPr>
          <w:rFonts w:hint="cs"/>
          <w:rtl/>
        </w:rPr>
        <w:t xml:space="preserve">דינה של כבוד </w:t>
      </w:r>
      <w:r>
        <w:rPr>
          <w:rFonts w:cs="Miriam" w:hint="cs"/>
          <w:szCs w:val="19"/>
          <w:rtl/>
        </w:rPr>
        <w:t>השופטת נאור</w:t>
      </w:r>
      <w:r>
        <w:rPr>
          <w:rFonts w:hint="cs"/>
          <w:rtl/>
        </w:rPr>
        <w:t>.</w:t>
      </w:r>
    </w:p>
    <w:p w:rsidR="00F706F7" w:rsidRDefault="00F706F7">
      <w:pPr>
        <w:pStyle w:val="a"/>
      </w:pPr>
      <w:r>
        <w:rPr>
          <w:rFonts w:hint="cs"/>
          <w:rtl/>
        </w:rPr>
        <w:t>ניתן היום, ט"ו בחשוון תשס"ד (10.11.2003).</w:t>
      </w:r>
    </w:p>
    <w:p w:rsidR="00F82D59" w:rsidRDefault="00F82D59">
      <w:pPr>
        <w:pStyle w:val="a"/>
        <w:rPr>
          <w:sz w:val="28"/>
          <w:rtl/>
        </w:rPr>
      </w:pPr>
      <w:r>
        <w:br w:type="page"/>
      </w:r>
    </w:p>
    <w:p w:rsidR="00F706F7" w:rsidRDefault="00F706F7">
      <w:pPr>
        <w:pStyle w:val="Footer"/>
        <w:jc w:val="both"/>
        <w:rPr>
          <w:rFonts w:hint="cs"/>
          <w:sz w:val="24"/>
          <w:rtl/>
        </w:rPr>
      </w:pPr>
    </w:p>
    <w:p w:rsidR="00F706F7" w:rsidRDefault="00F706F7">
      <w:pPr>
        <w:pStyle w:val="a2"/>
        <w:spacing w:after="0" w:line="320" w:lineRule="exact"/>
        <w:ind w:firstLine="0"/>
        <w:rPr>
          <w:rFonts w:ascii="Times New Roman" w:hAnsi="Times New Roman" w:cs="FrankRuehl" w:hint="cs"/>
          <w:rtl/>
        </w:rPr>
      </w:pPr>
      <w:bookmarkStart w:id="5" w:name="ABSTRACT_START"/>
      <w:bookmarkEnd w:id="5"/>
      <w:r>
        <w:rPr>
          <w:rFonts w:ascii="Times New Roman" w:hAnsi="Times New Roman" w:cs="FrankRuehl" w:hint="cs"/>
          <w:rtl/>
        </w:rPr>
        <w:t>מיני-רציו:</w:t>
      </w:r>
    </w:p>
    <w:p w:rsidR="00F706F7" w:rsidRDefault="00F706F7">
      <w:pPr>
        <w:pStyle w:val="20"/>
        <w:spacing w:before="0" w:after="0" w:line="320" w:lineRule="exact"/>
        <w:ind w:left="0" w:right="0" w:firstLine="0"/>
        <w:rPr>
          <w:rFonts w:cs="Miriam" w:hint="cs"/>
          <w:szCs w:val="20"/>
          <w:rtl/>
        </w:rPr>
      </w:pPr>
      <w:r>
        <w:rPr>
          <w:rFonts w:cs="Miriam" w:hint="cs"/>
          <w:sz w:val="24"/>
          <w:szCs w:val="24"/>
          <w:rtl/>
        </w:rPr>
        <w:t>* הגבלים עסקיים</w:t>
      </w:r>
      <w:r>
        <w:rPr>
          <w:rFonts w:cs="Miriam" w:hint="cs"/>
          <w:sz w:val="32"/>
          <w:szCs w:val="24"/>
          <w:rtl/>
        </w:rPr>
        <w:t xml:space="preserve"> </w:t>
      </w:r>
      <w:r>
        <w:rPr>
          <w:rFonts w:cs="Miriam" w:hint="cs"/>
          <w:sz w:val="28"/>
          <w:szCs w:val="24"/>
          <w:rtl/>
        </w:rPr>
        <w:t xml:space="preserve">– </w:t>
      </w:r>
      <w:r>
        <w:rPr>
          <w:rFonts w:cs="Miriam" w:hint="cs"/>
          <w:sz w:val="22"/>
          <w:rtl/>
        </w:rPr>
        <w:t>הסדר כובל</w:t>
      </w:r>
      <w:r>
        <w:rPr>
          <w:rFonts w:cs="Miriam" w:hint="cs"/>
          <w:sz w:val="30"/>
          <w:szCs w:val="24"/>
          <w:rtl/>
        </w:rPr>
        <w:t xml:space="preserve"> </w:t>
      </w:r>
      <w:r>
        <w:rPr>
          <w:rFonts w:cs="Miriam" w:hint="cs"/>
          <w:sz w:val="28"/>
          <w:szCs w:val="24"/>
          <w:rtl/>
        </w:rPr>
        <w:t xml:space="preserve">– </w:t>
      </w:r>
      <w:r>
        <w:rPr>
          <w:rFonts w:cs="Miriam" w:hint="cs"/>
          <w:szCs w:val="20"/>
          <w:rtl/>
        </w:rPr>
        <w:t>כעבירה</w:t>
      </w:r>
    </w:p>
    <w:p w:rsidR="00F706F7" w:rsidRDefault="00F706F7">
      <w:pPr>
        <w:pStyle w:val="20"/>
        <w:spacing w:before="0" w:after="0" w:line="320" w:lineRule="exact"/>
        <w:ind w:left="0" w:right="0" w:firstLine="0"/>
        <w:rPr>
          <w:rFonts w:hint="cs"/>
          <w:sz w:val="28"/>
          <w:szCs w:val="24"/>
          <w:rtl/>
        </w:rPr>
      </w:pPr>
      <w:r>
        <w:rPr>
          <w:rFonts w:hint="cs"/>
          <w:szCs w:val="24"/>
          <w:rtl/>
        </w:rPr>
        <w:t>רמת הענישה הראויה בגין עבירות של הסדרים כובלים</w:t>
      </w:r>
      <w:r>
        <w:rPr>
          <w:rFonts w:hint="cs"/>
          <w:sz w:val="28"/>
          <w:szCs w:val="24"/>
          <w:rtl/>
        </w:rPr>
        <w:t>.</w:t>
      </w:r>
    </w:p>
    <w:p w:rsidR="00F706F7" w:rsidRDefault="00F706F7">
      <w:pPr>
        <w:pStyle w:val="a2"/>
        <w:spacing w:after="0" w:line="320" w:lineRule="exact"/>
        <w:ind w:firstLine="0"/>
        <w:rPr>
          <w:rFonts w:ascii="Times New Roman" w:hAnsi="Times New Roman" w:hint="cs"/>
          <w:szCs w:val="20"/>
          <w:rtl/>
        </w:rPr>
      </w:pPr>
      <w:r>
        <w:rPr>
          <w:rFonts w:ascii="Times New Roman" w:hAnsi="Times New Roman" w:cs="FrankRuehl" w:hint="cs"/>
          <w:rtl/>
        </w:rPr>
        <w:t xml:space="preserve">* </w:t>
      </w:r>
      <w:r>
        <w:rPr>
          <w:rFonts w:hint="cs"/>
          <w:sz w:val="24"/>
          <w:rtl/>
        </w:rPr>
        <w:t>הגבלים עסקיים</w:t>
      </w:r>
      <w:r>
        <w:rPr>
          <w:rFonts w:hint="cs"/>
          <w:sz w:val="32"/>
          <w:rtl/>
        </w:rPr>
        <w:t xml:space="preserve"> </w:t>
      </w:r>
      <w:r>
        <w:rPr>
          <w:rFonts w:hint="cs"/>
          <w:sz w:val="28"/>
          <w:rtl/>
        </w:rPr>
        <w:t xml:space="preserve">– </w:t>
      </w:r>
      <w:r>
        <w:rPr>
          <w:rFonts w:hint="cs"/>
          <w:sz w:val="22"/>
          <w:szCs w:val="22"/>
          <w:rtl/>
        </w:rPr>
        <w:t>הסדר כובל</w:t>
      </w:r>
      <w:r>
        <w:rPr>
          <w:rFonts w:hint="cs"/>
          <w:sz w:val="30"/>
          <w:rtl/>
        </w:rPr>
        <w:t xml:space="preserve"> </w:t>
      </w:r>
      <w:r>
        <w:rPr>
          <w:rFonts w:hint="cs"/>
          <w:szCs w:val="20"/>
          <w:rtl/>
        </w:rPr>
        <w:t xml:space="preserve">– </w:t>
      </w:r>
      <w:r>
        <w:rPr>
          <w:rFonts w:ascii="Times New Roman" w:hAnsi="Times New Roman" w:hint="cs"/>
          <w:szCs w:val="20"/>
          <w:rtl/>
        </w:rPr>
        <w:t>מהו</w:t>
      </w:r>
    </w:p>
    <w:p w:rsidR="00F706F7" w:rsidRDefault="00F706F7">
      <w:pPr>
        <w:pStyle w:val="a2"/>
        <w:spacing w:after="0" w:line="320" w:lineRule="exact"/>
        <w:ind w:firstLine="0"/>
        <w:rPr>
          <w:rFonts w:ascii="Times New Roman" w:hAnsi="Times New Roman" w:cs="FrankRuehl" w:hint="cs"/>
        </w:rPr>
      </w:pPr>
      <w:r>
        <w:rPr>
          <w:rFonts w:ascii="Times New Roman" w:hAnsi="Times New Roman" w:cs="FrankRuehl" w:hint="cs"/>
          <w:rtl/>
        </w:rPr>
        <w:t xml:space="preserve">האם הסדר שאינו בגדר חוזה לפי דיני החוזים הוא בגדר "הסדר" לצורכי </w:t>
      </w:r>
      <w:hyperlink r:id="rId74" w:history="1">
        <w:r w:rsidR="00FC41C2" w:rsidRPr="00FC41C2">
          <w:rPr>
            <w:rStyle w:val="Hyperlink"/>
            <w:rFonts w:ascii="Times New Roman" w:hAnsi="Times New Roman" w:cs="FrankRuehl" w:hint="eastAsia"/>
            <w:rtl/>
          </w:rPr>
          <w:t>חוק</w:t>
        </w:r>
        <w:r w:rsidR="00FC41C2" w:rsidRPr="00FC41C2">
          <w:rPr>
            <w:rStyle w:val="Hyperlink"/>
            <w:rFonts w:ascii="Times New Roman" w:hAnsi="Times New Roman" w:cs="FrankRuehl"/>
            <w:rtl/>
          </w:rPr>
          <w:t xml:space="preserve"> ההגבלים העסקיים</w:t>
        </w:r>
      </w:hyperlink>
      <w:r>
        <w:rPr>
          <w:rFonts w:ascii="Times New Roman" w:hAnsi="Times New Roman" w:cs="FrankRuehl" w:hint="cs"/>
          <w:rtl/>
        </w:rPr>
        <w:t>, תשמ"ח-1988 – מגוון הדרכים לעריכת הסדר כובל – מתן פירוש מרחיב למונח "הסדר" לשם הגשמת תכלית החוק.</w:t>
      </w:r>
      <w:bookmarkStart w:id="6" w:name="ABSTRACT_END"/>
      <w:bookmarkEnd w:id="6"/>
    </w:p>
    <w:sectPr w:rsidR="00F706F7" w:rsidSect="00F82D59">
      <w:headerReference w:type="even" r:id="rId75"/>
      <w:headerReference w:type="default" r:id="rId76"/>
      <w:endnotePr>
        <w:numFmt w:val="lowerLetter"/>
      </w:endnotePr>
      <w:type w:val="continuous"/>
      <w:pgSz w:w="11907" w:h="16840" w:code="9"/>
      <w:pgMar w:top="2275" w:right="2693" w:bottom="1699" w:left="2693" w:header="2275" w:footer="1411" w:gutter="0"/>
      <w:cols w:space="720"/>
      <w:titlePg/>
      <w:bidi/>
      <w:rtlGutter/>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30477" w:rsidRDefault="00730477">
      <w:r>
        <w:separator/>
      </w:r>
    </w:p>
  </w:endnote>
  <w:endnote w:type="continuationSeparator" w:id="0">
    <w:p w:rsidR="00730477" w:rsidRDefault="007304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iriam">
    <w:panose1 w:val="020B0502050101010101"/>
    <w:charset w:val="B1"/>
    <w:family w:val="swiss"/>
    <w:pitch w:val="variable"/>
    <w:sig w:usb0="00000801" w:usb1="00000000" w:usb2="00000000" w:usb3="00000000" w:csb0="00000020" w:csb1="00000000"/>
  </w:font>
  <w:font w:name="FrankRuehl">
    <w:panose1 w:val="020E0503060101010101"/>
    <w:charset w:val="B1"/>
    <w:family w:val="swiss"/>
    <w:pitch w:val="variable"/>
    <w:sig w:usb0="00000801" w:usb1="00000000" w:usb2="00000000" w:usb3="00000000" w:csb0="00000020" w:csb1="00000000"/>
  </w:font>
  <w:font w:name="Arial">
    <w:panose1 w:val="020B0604020202020204"/>
    <w:charset w:val="00"/>
    <w:family w:val="swiss"/>
    <w:pitch w:val="variable"/>
    <w:sig w:usb0="E0002EFF" w:usb1="C000785B" w:usb2="00000009" w:usb3="00000000" w:csb0="000001FF" w:csb1="00000000"/>
  </w:font>
  <w:font w:name="Arial TUR">
    <w:charset w:val="00"/>
    <w:family w:val="swiss"/>
    <w:pitch w:val="variable"/>
    <w:sig w:usb0="E0002EFF" w:usb1="C000785B" w:usb2="00000009" w:usb3="00000000" w:csb0="000001FF" w:csb1="00000000"/>
  </w:font>
  <w:font w:name="David">
    <w:panose1 w:val="020E0502060401010101"/>
    <w:charset w:val="B1"/>
    <w:family w:val="swiss"/>
    <w:pitch w:val="variable"/>
    <w:sig w:usb0="00000801" w:usb1="00000000" w:usb2="00000000" w:usb3="00000000" w:csb0="00000020" w:csb1="00000000"/>
  </w:font>
  <w:font w:name="DavidFix">
    <w:charset w:val="B1"/>
    <w:family w:val="auto"/>
    <w:pitch w:val="variable"/>
    <w:sig w:usb0="00000801" w:usb1="00000000" w:usb2="00000000" w:usb3="00000000" w:csb0="00000020" w:csb1="00000000"/>
  </w:font>
  <w:font w:name="TopType Jerushalmi">
    <w:charset w:val="B1"/>
    <w:family w:val="auto"/>
    <w:pitch w:val="variable"/>
    <w:sig w:usb0="00000801" w:usb1="00000000" w:usb2="00000000" w:usb3="00000000" w:csb0="0000002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06F7" w:rsidRDefault="00F706F7">
    <w:pPr>
      <w:pStyle w:val="Footer"/>
      <w:tabs>
        <w:tab w:val="clear" w:pos="4153"/>
        <w:tab w:val="clear" w:pos="8306"/>
        <w:tab w:val="right" w:pos="6521"/>
        <w:tab w:val="center" w:pos="9640"/>
      </w:tabs>
      <w:spacing w:after="60"/>
      <w:rPr>
        <w:szCs w:val="21"/>
        <w:rtl/>
      </w:rPr>
    </w:pPr>
    <w:r>
      <w:rPr>
        <w:rStyle w:val="PageNumber"/>
        <w:rtl/>
      </w:rPr>
      <w:fldChar w:fldCharType="begin"/>
    </w:r>
    <w:r>
      <w:rPr>
        <w:rStyle w:val="PageNumber"/>
        <w:rtl/>
      </w:rPr>
      <w:instrText xml:space="preserve"> </w:instrText>
    </w:r>
    <w:r>
      <w:rPr>
        <w:rStyle w:val="PageNumber"/>
      </w:rPr>
      <w:instrText>PAGE</w:instrText>
    </w:r>
    <w:r>
      <w:rPr>
        <w:rStyle w:val="PageNumber"/>
        <w:rtl/>
      </w:rPr>
      <w:instrText xml:space="preserve"> </w:instrText>
    </w:r>
    <w:r>
      <w:rPr>
        <w:rStyle w:val="PageNumber"/>
        <w:rtl/>
      </w:rPr>
      <w:fldChar w:fldCharType="separate"/>
    </w:r>
    <w:r w:rsidR="00564E42">
      <w:rPr>
        <w:rStyle w:val="PageNumber"/>
        <w:noProof/>
        <w:rtl/>
      </w:rPr>
      <w:t>734</w:t>
    </w:r>
    <w:r>
      <w:rPr>
        <w:rStyle w:val="PageNumber"/>
        <w:rtl/>
      </w:rPr>
      <w:fldChar w:fldCharType="end"/>
    </w:r>
    <w:r>
      <w:rPr>
        <w:rStyle w:val="PageNumber"/>
        <w:rtl/>
      </w:rPr>
      <w:tab/>
    </w:r>
    <w:r>
      <w:rPr>
        <w:szCs w:val="21"/>
        <w:rtl/>
      </w:rPr>
      <w:t>פסקי</w:t>
    </w:r>
    <w:r>
      <w:rPr>
        <w:position w:val="3"/>
        <w:szCs w:val="21"/>
        <w:rtl/>
      </w:rPr>
      <w:t>-</w:t>
    </w:r>
    <w:r>
      <w:rPr>
        <w:szCs w:val="21"/>
        <w:rtl/>
      </w:rPr>
      <w:t>דין, כרך נ</w:t>
    </w:r>
    <w:r>
      <w:rPr>
        <w:rFonts w:hint="cs"/>
        <w:szCs w:val="21"/>
        <w:rtl/>
      </w:rPr>
      <w:t>ח</w:t>
    </w:r>
    <w:r>
      <w:rPr>
        <w:szCs w:val="21"/>
        <w:rtl/>
      </w:rPr>
      <w:t xml:space="preserve">, חלק </w:t>
    </w:r>
    <w:r>
      <w:rPr>
        <w:rFonts w:hint="cs"/>
        <w:szCs w:val="21"/>
        <w:rtl/>
      </w:rPr>
      <w:t>ראשון</w:t>
    </w:r>
    <w:r>
      <w:rPr>
        <w:szCs w:val="21"/>
        <w:rtl/>
      </w:rPr>
      <w:t>, תשס"</w:t>
    </w:r>
    <w:r>
      <w:rPr>
        <w:rFonts w:hint="cs"/>
        <w:szCs w:val="21"/>
        <w:rtl/>
      </w:rPr>
      <w:t>ד</w:t>
    </w:r>
    <w:r>
      <w:rPr>
        <w:szCs w:val="21"/>
        <w:rtl/>
      </w:rPr>
      <w:t>/תשס"</w:t>
    </w:r>
    <w:r>
      <w:rPr>
        <w:rFonts w:hint="cs"/>
        <w:szCs w:val="21"/>
        <w:rtl/>
      </w:rPr>
      <w:t>ה</w:t>
    </w:r>
    <w:r>
      <w:rPr>
        <w:szCs w:val="21"/>
        <w:rtl/>
      </w:rPr>
      <w:t xml:space="preserve"> </w:t>
    </w:r>
    <w:r>
      <w:rPr>
        <w:rFonts w:hint="cs"/>
        <w:szCs w:val="21"/>
        <w:rtl/>
      </w:rPr>
      <w:t>2004</w:t>
    </w:r>
  </w:p>
  <w:p w:rsidR="00F706F7" w:rsidRDefault="00F706F7">
    <w:pPr>
      <w:pStyle w:val="Footer"/>
      <w:pBdr>
        <w:top w:val="single" w:sz="4" w:space="1" w:color="auto"/>
        <w:between w:val="single" w:sz="4" w:space="0" w:color="auto"/>
      </w:pBdr>
      <w:tabs>
        <w:tab w:val="clear" w:pos="4153"/>
        <w:tab w:val="clear" w:pos="8306"/>
        <w:tab w:val="right" w:pos="6521"/>
        <w:tab w:val="center" w:pos="9640"/>
      </w:tabs>
      <w:spacing w:after="60"/>
      <w:jc w:val="center"/>
      <w:rPr>
        <w:rStyle w:val="PageNumber"/>
        <w:rFonts w:cs="TopType Jerushalmi"/>
        <w:color w:val="000000"/>
        <w:sz w:val="28"/>
        <w:szCs w:val="22"/>
        <w:rtl/>
      </w:rPr>
    </w:pPr>
    <w:r>
      <w:rPr>
        <w:rStyle w:val="PageNumber"/>
        <w:rFonts w:cs="TopType Jerushalmi"/>
        <w:color w:val="000000"/>
        <w:sz w:val="28"/>
        <w:szCs w:val="22"/>
        <w:rtl/>
      </w:rPr>
      <w:t xml:space="preserve">נבו הוצאה לאור בע"מ  </w:t>
    </w:r>
    <w:smartTag w:uri="urn:schemas-microsoft-com:office:smarttags" w:element="PersonName">
      <w:r>
        <w:rPr>
          <w:rStyle w:val="PageNumber"/>
          <w:rFonts w:cs="TopType Jerushalmi"/>
          <w:color w:val="000000"/>
          <w:sz w:val="28"/>
          <w:szCs w:val="22"/>
        </w:rPr>
        <w:t>nevo</w:t>
      </w:r>
    </w:smartTag>
    <w:r>
      <w:rPr>
        <w:rStyle w:val="PageNumber"/>
        <w:rFonts w:cs="TopType Jerushalmi"/>
        <w:color w:val="000000"/>
        <w:sz w:val="28"/>
        <w:szCs w:val="22"/>
      </w:rPr>
      <w:t>.co.il</w:t>
    </w:r>
    <w:r>
      <w:rPr>
        <w:rStyle w:val="PageNumber"/>
        <w:rFonts w:cs="TopType Jerushalmi"/>
        <w:color w:val="000000"/>
        <w:sz w:val="28"/>
        <w:szCs w:val="22"/>
        <w:rtl/>
      </w:rPr>
      <w:t xml:space="preserve">   המאגר המשפטי הישראלי</w:t>
    </w:r>
  </w:p>
  <w:p w:rsidR="00F706F7" w:rsidRDefault="00F706F7">
    <w:pPr>
      <w:pStyle w:val="Footer"/>
      <w:pBdr>
        <w:top w:val="single" w:sz="4" w:space="1" w:color="auto"/>
        <w:between w:val="single" w:sz="4" w:space="0" w:color="auto"/>
      </w:pBdr>
      <w:tabs>
        <w:tab w:val="clear" w:pos="4153"/>
        <w:tab w:val="clear" w:pos="8306"/>
        <w:tab w:val="right" w:pos="6521"/>
        <w:tab w:val="center" w:pos="9640"/>
      </w:tabs>
      <w:rPr>
        <w:rStyle w:val="PageNumber"/>
        <w:rFonts w:cs="TopType Jerushalmi" w:hint="cs"/>
        <w:color w:val="000000"/>
        <w:sz w:val="14"/>
        <w:szCs w:val="14"/>
        <w:rtl/>
      </w:rPr>
    </w:pPr>
    <w:r>
      <w:rPr>
        <w:rStyle w:val="PageNumber"/>
        <w:rFonts w:cs="TopType Jerushalmi"/>
        <w:color w:val="000000"/>
        <w:sz w:val="14"/>
        <w:szCs w:val="14"/>
        <w:rtl/>
      </w:rPr>
      <w:fldChar w:fldCharType="begin"/>
    </w:r>
    <w:r>
      <w:rPr>
        <w:rStyle w:val="PageNumber"/>
        <w:rFonts w:cs="TopType Jerushalmi"/>
        <w:color w:val="000000"/>
        <w:sz w:val="14"/>
        <w:szCs w:val="14"/>
        <w:rtl/>
      </w:rPr>
      <w:instrText xml:space="preserve"> </w:instrText>
    </w:r>
    <w:r>
      <w:rPr>
        <w:rStyle w:val="PageNumber"/>
        <w:rFonts w:cs="TopType Jerushalmi"/>
        <w:color w:val="000000"/>
        <w:sz w:val="14"/>
        <w:szCs w:val="14"/>
      </w:rPr>
      <w:instrText>FILENAME \p  \* MERGEFORMAT</w:instrText>
    </w:r>
    <w:r>
      <w:rPr>
        <w:rStyle w:val="PageNumber"/>
        <w:rFonts w:cs="TopType Jerushalmi"/>
        <w:color w:val="000000"/>
        <w:sz w:val="14"/>
        <w:szCs w:val="14"/>
        <w:rtl/>
      </w:rPr>
      <w:instrText xml:space="preserve"> </w:instrText>
    </w:r>
    <w:r>
      <w:rPr>
        <w:rStyle w:val="PageNumber"/>
        <w:rFonts w:cs="TopType Jerushalmi"/>
        <w:color w:val="000000"/>
        <w:sz w:val="14"/>
        <w:szCs w:val="14"/>
        <w:rtl/>
      </w:rPr>
      <w:fldChar w:fldCharType="separate"/>
    </w:r>
    <w:r w:rsidR="00FC41C2" w:rsidRPr="00FC41C2">
      <w:rPr>
        <w:rStyle w:val="PageNumber"/>
        <w:noProof/>
      </w:rPr>
      <w:t>Z:\000000000000000000000000000000=2015--------------------\HAKIKA-KIDUD\elyon-mtukzar+padi-no</w:t>
    </w:r>
    <w:r w:rsidR="00FC41C2">
      <w:rPr>
        <w:rStyle w:val="PageNumber"/>
        <w:rFonts w:cs="TopType Jerushalmi"/>
        <w:noProof/>
        <w:color w:val="000000"/>
        <w:sz w:val="14"/>
        <w:szCs w:val="14"/>
      </w:rPr>
      <w:t xml:space="preserve"> izkurim-----\9456\word\outdoc-nohyper\01\0301042-padi.doc</w:t>
    </w:r>
    <w:r>
      <w:rPr>
        <w:rStyle w:val="PageNumber"/>
        <w:rFonts w:cs="TopType Jerushalmi"/>
        <w:color w:val="000000"/>
        <w:sz w:val="14"/>
        <w:szCs w:val="14"/>
        <w:rtl/>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06F7" w:rsidRDefault="00F706F7">
    <w:pPr>
      <w:pStyle w:val="Footer"/>
      <w:tabs>
        <w:tab w:val="clear" w:pos="4153"/>
        <w:tab w:val="clear" w:pos="8306"/>
        <w:tab w:val="right" w:pos="6521"/>
        <w:tab w:val="center" w:pos="9640"/>
      </w:tabs>
      <w:spacing w:after="60"/>
      <w:rPr>
        <w:rStyle w:val="PageNumber"/>
        <w:rtl/>
      </w:rPr>
    </w:pPr>
    <w:r>
      <w:rPr>
        <w:szCs w:val="21"/>
        <w:rtl/>
      </w:rPr>
      <w:t>פסקי</w:t>
    </w:r>
    <w:r>
      <w:rPr>
        <w:position w:val="3"/>
        <w:szCs w:val="21"/>
        <w:rtl/>
      </w:rPr>
      <w:t>-</w:t>
    </w:r>
    <w:r>
      <w:rPr>
        <w:szCs w:val="21"/>
        <w:rtl/>
      </w:rPr>
      <w:t>דין, כרך נ</w:t>
    </w:r>
    <w:r>
      <w:rPr>
        <w:rFonts w:hint="cs"/>
        <w:szCs w:val="21"/>
        <w:rtl/>
      </w:rPr>
      <w:t>ח</w:t>
    </w:r>
    <w:r>
      <w:rPr>
        <w:szCs w:val="21"/>
        <w:rtl/>
      </w:rPr>
      <w:t xml:space="preserve">, חלק </w:t>
    </w:r>
    <w:r>
      <w:rPr>
        <w:rFonts w:hint="cs"/>
        <w:szCs w:val="21"/>
        <w:rtl/>
      </w:rPr>
      <w:t>ראשון</w:t>
    </w:r>
    <w:r>
      <w:rPr>
        <w:szCs w:val="21"/>
        <w:rtl/>
      </w:rPr>
      <w:t>, תשס"</w:t>
    </w:r>
    <w:r>
      <w:rPr>
        <w:rFonts w:hint="cs"/>
        <w:szCs w:val="21"/>
        <w:rtl/>
      </w:rPr>
      <w:t>ד</w:t>
    </w:r>
    <w:r>
      <w:rPr>
        <w:szCs w:val="21"/>
        <w:rtl/>
      </w:rPr>
      <w:t>/תשס"</w:t>
    </w:r>
    <w:r>
      <w:rPr>
        <w:rFonts w:hint="cs"/>
        <w:szCs w:val="21"/>
        <w:rtl/>
      </w:rPr>
      <w:t>ה</w:t>
    </w:r>
    <w:r>
      <w:rPr>
        <w:szCs w:val="21"/>
        <w:rtl/>
      </w:rPr>
      <w:t xml:space="preserve"> </w:t>
    </w:r>
    <w:r>
      <w:rPr>
        <w:rFonts w:hint="cs"/>
        <w:szCs w:val="21"/>
        <w:rtl/>
      </w:rPr>
      <w:t>2004</w:t>
    </w:r>
    <w:r>
      <w:rPr>
        <w:rFonts w:hint="cs"/>
        <w:szCs w:val="21"/>
        <w:rtl/>
      </w:rPr>
      <w:tab/>
    </w:r>
    <w:r>
      <w:rPr>
        <w:rStyle w:val="PageNumber"/>
        <w:rtl/>
      </w:rPr>
      <w:fldChar w:fldCharType="begin"/>
    </w:r>
    <w:r>
      <w:rPr>
        <w:rStyle w:val="PageNumber"/>
        <w:rtl/>
      </w:rPr>
      <w:instrText xml:space="preserve"> </w:instrText>
    </w:r>
    <w:r>
      <w:rPr>
        <w:rStyle w:val="PageNumber"/>
      </w:rPr>
      <w:instrText>PAGE</w:instrText>
    </w:r>
    <w:r>
      <w:rPr>
        <w:rStyle w:val="PageNumber"/>
        <w:rtl/>
      </w:rPr>
      <w:instrText xml:space="preserve"> </w:instrText>
    </w:r>
    <w:r>
      <w:rPr>
        <w:rStyle w:val="PageNumber"/>
        <w:rtl/>
      </w:rPr>
      <w:fldChar w:fldCharType="separate"/>
    </w:r>
    <w:r w:rsidR="00564E42">
      <w:rPr>
        <w:rStyle w:val="PageNumber"/>
        <w:noProof/>
        <w:rtl/>
      </w:rPr>
      <w:t>733</w:t>
    </w:r>
    <w:r>
      <w:rPr>
        <w:rStyle w:val="PageNumber"/>
        <w:rtl/>
      </w:rPr>
      <w:fldChar w:fldCharType="end"/>
    </w:r>
  </w:p>
  <w:p w:rsidR="00F706F7" w:rsidRDefault="00F706F7">
    <w:pPr>
      <w:pStyle w:val="Footer"/>
      <w:pBdr>
        <w:top w:val="single" w:sz="4" w:space="1" w:color="auto"/>
        <w:between w:val="single" w:sz="4" w:space="0" w:color="auto"/>
      </w:pBdr>
      <w:tabs>
        <w:tab w:val="clear" w:pos="4153"/>
        <w:tab w:val="clear" w:pos="8306"/>
        <w:tab w:val="right" w:pos="6521"/>
        <w:tab w:val="center" w:pos="9640"/>
      </w:tabs>
      <w:spacing w:after="60"/>
      <w:jc w:val="center"/>
      <w:rPr>
        <w:rStyle w:val="PageNumber"/>
        <w:rFonts w:cs="TopType Jerushalmi"/>
        <w:color w:val="000000"/>
        <w:sz w:val="28"/>
        <w:szCs w:val="22"/>
        <w:rtl/>
      </w:rPr>
    </w:pPr>
    <w:r>
      <w:rPr>
        <w:rStyle w:val="PageNumber"/>
        <w:rFonts w:cs="TopType Jerushalmi"/>
        <w:color w:val="000000"/>
        <w:sz w:val="28"/>
        <w:szCs w:val="22"/>
        <w:rtl/>
      </w:rPr>
      <w:t xml:space="preserve">נבו הוצאה לאור בע"מ  </w:t>
    </w:r>
    <w:smartTag w:uri="urn:schemas-microsoft-com:office:smarttags" w:element="PersonName">
      <w:r>
        <w:rPr>
          <w:rStyle w:val="PageNumber"/>
          <w:rFonts w:cs="TopType Jerushalmi"/>
          <w:color w:val="000000"/>
          <w:sz w:val="28"/>
          <w:szCs w:val="22"/>
        </w:rPr>
        <w:t>nevo</w:t>
      </w:r>
    </w:smartTag>
    <w:r>
      <w:rPr>
        <w:rStyle w:val="PageNumber"/>
        <w:rFonts w:cs="TopType Jerushalmi"/>
        <w:color w:val="000000"/>
        <w:sz w:val="28"/>
        <w:szCs w:val="22"/>
      </w:rPr>
      <w:t>.co.il</w:t>
    </w:r>
    <w:r>
      <w:rPr>
        <w:rStyle w:val="PageNumber"/>
        <w:rFonts w:cs="TopType Jerushalmi"/>
        <w:color w:val="000000"/>
        <w:sz w:val="28"/>
        <w:szCs w:val="22"/>
        <w:rtl/>
      </w:rPr>
      <w:t xml:space="preserve">   המאגר המשפטי הישראלי</w:t>
    </w:r>
  </w:p>
  <w:p w:rsidR="00F706F7" w:rsidRDefault="00F706F7">
    <w:pPr>
      <w:pStyle w:val="Footer"/>
      <w:pBdr>
        <w:top w:val="single" w:sz="4" w:space="1" w:color="auto"/>
        <w:between w:val="single" w:sz="4" w:space="0" w:color="auto"/>
      </w:pBdr>
      <w:tabs>
        <w:tab w:val="clear" w:pos="4153"/>
        <w:tab w:val="clear" w:pos="8306"/>
        <w:tab w:val="right" w:pos="6521"/>
        <w:tab w:val="center" w:pos="9640"/>
      </w:tabs>
      <w:rPr>
        <w:rStyle w:val="PageNumber"/>
        <w:rFonts w:cs="TopType Jerushalmi" w:hint="cs"/>
        <w:color w:val="000000"/>
        <w:sz w:val="14"/>
        <w:szCs w:val="14"/>
        <w:rtl/>
      </w:rPr>
    </w:pPr>
    <w:r>
      <w:rPr>
        <w:rStyle w:val="PageNumber"/>
        <w:rFonts w:cs="TopType Jerushalmi"/>
        <w:color w:val="000000"/>
        <w:sz w:val="14"/>
        <w:szCs w:val="14"/>
        <w:rtl/>
      </w:rPr>
      <w:fldChar w:fldCharType="begin"/>
    </w:r>
    <w:r>
      <w:rPr>
        <w:rStyle w:val="PageNumber"/>
        <w:rFonts w:cs="TopType Jerushalmi"/>
        <w:color w:val="000000"/>
        <w:sz w:val="14"/>
        <w:szCs w:val="14"/>
        <w:rtl/>
      </w:rPr>
      <w:instrText xml:space="preserve"> </w:instrText>
    </w:r>
    <w:r>
      <w:rPr>
        <w:rStyle w:val="PageNumber"/>
        <w:rFonts w:cs="TopType Jerushalmi"/>
        <w:color w:val="000000"/>
        <w:sz w:val="14"/>
        <w:szCs w:val="14"/>
      </w:rPr>
      <w:instrText>FILENAME \p  \* MERGEFORMAT</w:instrText>
    </w:r>
    <w:r>
      <w:rPr>
        <w:rStyle w:val="PageNumber"/>
        <w:rFonts w:cs="TopType Jerushalmi"/>
        <w:color w:val="000000"/>
        <w:sz w:val="14"/>
        <w:szCs w:val="14"/>
        <w:rtl/>
      </w:rPr>
      <w:instrText xml:space="preserve"> </w:instrText>
    </w:r>
    <w:r>
      <w:rPr>
        <w:rStyle w:val="PageNumber"/>
        <w:rFonts w:cs="TopType Jerushalmi"/>
        <w:color w:val="000000"/>
        <w:sz w:val="14"/>
        <w:szCs w:val="14"/>
        <w:rtl/>
      </w:rPr>
      <w:fldChar w:fldCharType="separate"/>
    </w:r>
    <w:r w:rsidR="00FC41C2" w:rsidRPr="00FC41C2">
      <w:rPr>
        <w:rStyle w:val="PageNumber"/>
        <w:noProof/>
      </w:rPr>
      <w:t>Z:\000000000000000000000000000000=2015--------------------\HAKIKA-KIDUD\elyon-mtukzar+padi-no</w:t>
    </w:r>
    <w:r w:rsidR="00FC41C2">
      <w:rPr>
        <w:rStyle w:val="PageNumber"/>
        <w:rFonts w:cs="TopType Jerushalmi"/>
        <w:noProof/>
        <w:color w:val="000000"/>
        <w:sz w:val="14"/>
        <w:szCs w:val="14"/>
      </w:rPr>
      <w:t xml:space="preserve"> izkurim-----\9456\word\outdoc-nohyper\01\0301042-padi.doc</w:t>
    </w:r>
    <w:r>
      <w:rPr>
        <w:rStyle w:val="PageNumber"/>
        <w:rFonts w:cs="TopType Jerushalmi"/>
        <w:color w:val="000000"/>
        <w:sz w:val="14"/>
        <w:szCs w:val="14"/>
        <w:rtl/>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06F7" w:rsidRDefault="00F706F7">
    <w:pPr>
      <w:pStyle w:val="Footer"/>
      <w:pBdr>
        <w:top w:val="single" w:sz="4" w:space="1" w:color="auto"/>
        <w:between w:val="single" w:sz="4" w:space="0" w:color="auto"/>
      </w:pBdr>
      <w:tabs>
        <w:tab w:val="clear" w:pos="4153"/>
        <w:tab w:val="clear" w:pos="8306"/>
        <w:tab w:val="right" w:pos="6521"/>
        <w:tab w:val="center" w:pos="9640"/>
      </w:tabs>
      <w:rPr>
        <w:rStyle w:val="PageNumber"/>
        <w:rFonts w:cs="TopType Jerushalmi" w:hint="cs"/>
        <w:color w:val="000000"/>
        <w:sz w:val="14"/>
        <w:szCs w:val="14"/>
        <w:rtl/>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30477" w:rsidRDefault="00730477">
      <w:r>
        <w:separator/>
      </w:r>
    </w:p>
  </w:footnote>
  <w:footnote w:type="continuationSeparator" w:id="0">
    <w:p w:rsidR="00730477" w:rsidRDefault="007304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06F7" w:rsidRDefault="00F706F7">
    <w:pPr>
      <w:pStyle w:val="Header"/>
      <w:pBdr>
        <w:bottom w:val="single" w:sz="6" w:space="1" w:color="auto"/>
      </w:pBdr>
      <w:tabs>
        <w:tab w:val="clear" w:pos="4153"/>
        <w:tab w:val="clear" w:pos="8306"/>
        <w:tab w:val="right" w:pos="6521"/>
        <w:tab w:val="center" w:pos="9498"/>
      </w:tabs>
      <w:rPr>
        <w:rFonts w:hint="cs"/>
        <w:rtl/>
      </w:rPr>
    </w:pPr>
    <w:r>
      <w:rPr>
        <w:rFonts w:hint="cs"/>
        <w:rtl/>
      </w:rPr>
      <w:t>ע"פ</w:t>
    </w:r>
    <w:r>
      <w:rPr>
        <w:rtl/>
      </w:rPr>
      <w:t xml:space="preserve"> </w:t>
    </w:r>
    <w:r>
      <w:rPr>
        <w:rFonts w:hint="cs"/>
        <w:rtl/>
      </w:rPr>
      <w:t>1042/03</w:t>
    </w:r>
    <w:r>
      <w:rPr>
        <w:rtl/>
      </w:rPr>
      <w:tab/>
    </w:r>
    <w:r>
      <w:rPr>
        <w:rFonts w:hint="cs"/>
        <w:rtl/>
      </w:rPr>
      <w:t>מצרפלס שותפות מוגבלת בע"מ (1974) נ' מדינת ישראל</w:t>
    </w:r>
  </w:p>
  <w:p w:rsidR="00F706F7" w:rsidRDefault="00564E42">
    <w:pPr>
      <w:pStyle w:val="2"/>
      <w:jc w:val="left"/>
      <w:rPr>
        <w:rFonts w:hint="cs"/>
        <w:rtl/>
      </w:rPr>
    </w:pPr>
    <w:r>
      <w:rPr>
        <w:rFonts w:cs="FrankRuehl"/>
        <w:noProof/>
        <w:szCs w:val="22"/>
        <w:rtl/>
        <w:lang w:eastAsia="en-US"/>
      </w:rPr>
      <mc:AlternateContent>
        <mc:Choice Requires="wpg">
          <w:drawing>
            <wp:anchor distT="0" distB="0" distL="114300" distR="114300" simplePos="0" relativeHeight="251655680" behindDoc="0" locked="0" layoutInCell="0" allowOverlap="1">
              <wp:simplePos x="0" y="0"/>
              <wp:positionH relativeFrom="column">
                <wp:posOffset>-467995</wp:posOffset>
              </wp:positionH>
              <wp:positionV relativeFrom="margin">
                <wp:posOffset>323850</wp:posOffset>
              </wp:positionV>
              <wp:extent cx="171450" cy="5234940"/>
              <wp:effectExtent l="0" t="0" r="0" b="0"/>
              <wp:wrapNone/>
              <wp:docPr id="33"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1450" cy="5234940"/>
                        <a:chOff x="0" y="0"/>
                        <a:chExt cx="20000" cy="20007"/>
                      </a:xfrm>
                    </wpg:grpSpPr>
                    <wps:wsp>
                      <wps:cNvPr id="34" name="Rectangle 2"/>
                      <wps:cNvSpPr>
                        <a:spLocks noChangeArrowheads="1"/>
                      </wps:cNvSpPr>
                      <wps:spPr bwMode="auto">
                        <a:xfrm>
                          <a:off x="0" y="0"/>
                          <a:ext cx="20000" cy="699"/>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706F7" w:rsidRDefault="00F706F7">
                            <w:pPr>
                              <w:rPr>
                                <w:rtl/>
                              </w:rPr>
                            </w:pPr>
                            <w:r>
                              <w:rPr>
                                <w:szCs w:val="28"/>
                                <w:rtl/>
                              </w:rPr>
                              <w:t>א</w:t>
                            </w:r>
                          </w:p>
                        </w:txbxContent>
                      </wps:txbx>
                      <wps:bodyPr rot="0" vert="horz" wrap="square" lIns="12700" tIns="12700" rIns="12700" bIns="12700" anchor="t" anchorCtr="0" upright="1">
                        <a:noAutofit/>
                      </wps:bodyPr>
                    </wps:wsp>
                    <wps:wsp>
                      <wps:cNvPr id="35" name="Rectangle 3"/>
                      <wps:cNvSpPr>
                        <a:spLocks noChangeArrowheads="1"/>
                      </wps:cNvSpPr>
                      <wps:spPr bwMode="auto">
                        <a:xfrm>
                          <a:off x="0" y="3264"/>
                          <a:ext cx="20000" cy="699"/>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706F7" w:rsidRDefault="00F706F7">
                            <w:pPr>
                              <w:rPr>
                                <w:rtl/>
                              </w:rPr>
                            </w:pPr>
                            <w:r>
                              <w:rPr>
                                <w:szCs w:val="28"/>
                                <w:rtl/>
                              </w:rPr>
                              <w:t>ב</w:t>
                            </w:r>
                          </w:p>
                        </w:txbxContent>
                      </wps:txbx>
                      <wps:bodyPr rot="0" vert="horz" wrap="square" lIns="12700" tIns="12700" rIns="12700" bIns="12700" anchor="t" anchorCtr="0" upright="1">
                        <a:noAutofit/>
                      </wps:bodyPr>
                    </wps:wsp>
                    <wps:wsp>
                      <wps:cNvPr id="36" name="Rectangle 4"/>
                      <wps:cNvSpPr>
                        <a:spLocks noChangeArrowheads="1"/>
                      </wps:cNvSpPr>
                      <wps:spPr bwMode="auto">
                        <a:xfrm>
                          <a:off x="0" y="6460"/>
                          <a:ext cx="20000" cy="699"/>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706F7" w:rsidRDefault="00F706F7">
                            <w:pPr>
                              <w:rPr>
                                <w:rtl/>
                              </w:rPr>
                            </w:pPr>
                            <w:r>
                              <w:rPr>
                                <w:szCs w:val="28"/>
                                <w:rtl/>
                              </w:rPr>
                              <w:t>ג</w:t>
                            </w:r>
                          </w:p>
                        </w:txbxContent>
                      </wps:txbx>
                      <wps:bodyPr rot="0" vert="horz" wrap="square" lIns="12700" tIns="12700" rIns="12700" bIns="12700" anchor="t" anchorCtr="0" upright="1">
                        <a:noAutofit/>
                      </wps:bodyPr>
                    </wps:wsp>
                    <wps:wsp>
                      <wps:cNvPr id="37" name="Rectangle 5"/>
                      <wps:cNvSpPr>
                        <a:spLocks noChangeArrowheads="1"/>
                      </wps:cNvSpPr>
                      <wps:spPr bwMode="auto">
                        <a:xfrm>
                          <a:off x="0" y="9656"/>
                          <a:ext cx="20000" cy="699"/>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706F7" w:rsidRDefault="00F706F7">
                            <w:pPr>
                              <w:rPr>
                                <w:rtl/>
                              </w:rPr>
                            </w:pPr>
                            <w:r>
                              <w:rPr>
                                <w:szCs w:val="28"/>
                                <w:rtl/>
                              </w:rPr>
                              <w:t>ד</w:t>
                            </w:r>
                          </w:p>
                        </w:txbxContent>
                      </wps:txbx>
                      <wps:bodyPr rot="0" vert="horz" wrap="square" lIns="12700" tIns="12700" rIns="12700" bIns="12700" anchor="t" anchorCtr="0" upright="1">
                        <a:noAutofit/>
                      </wps:bodyPr>
                    </wps:wsp>
                    <wps:wsp>
                      <wps:cNvPr id="38" name="Rectangle 6"/>
                      <wps:cNvSpPr>
                        <a:spLocks noChangeArrowheads="1"/>
                      </wps:cNvSpPr>
                      <wps:spPr bwMode="auto">
                        <a:xfrm>
                          <a:off x="0" y="12850"/>
                          <a:ext cx="20000" cy="699"/>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706F7" w:rsidRDefault="00F706F7">
                            <w:pPr>
                              <w:rPr>
                                <w:rtl/>
                              </w:rPr>
                            </w:pPr>
                            <w:r>
                              <w:rPr>
                                <w:szCs w:val="28"/>
                                <w:rtl/>
                              </w:rPr>
                              <w:t>ה</w:t>
                            </w:r>
                          </w:p>
                        </w:txbxContent>
                      </wps:txbx>
                      <wps:bodyPr rot="0" vert="horz" wrap="square" lIns="12700" tIns="12700" rIns="12700" bIns="12700" anchor="t" anchorCtr="0" upright="1">
                        <a:noAutofit/>
                      </wps:bodyPr>
                    </wps:wsp>
                    <wps:wsp>
                      <wps:cNvPr id="39" name="Rectangle 7"/>
                      <wps:cNvSpPr>
                        <a:spLocks noChangeArrowheads="1"/>
                      </wps:cNvSpPr>
                      <wps:spPr bwMode="auto">
                        <a:xfrm>
                          <a:off x="0" y="16114"/>
                          <a:ext cx="20000" cy="699"/>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706F7" w:rsidRDefault="00F706F7">
                            <w:pPr>
                              <w:rPr>
                                <w:rtl/>
                              </w:rPr>
                            </w:pPr>
                            <w:r>
                              <w:rPr>
                                <w:szCs w:val="28"/>
                                <w:rtl/>
                              </w:rPr>
                              <w:t>ו</w:t>
                            </w:r>
                          </w:p>
                        </w:txbxContent>
                      </wps:txbx>
                      <wps:bodyPr rot="0" vert="horz" wrap="square" lIns="12700" tIns="12700" rIns="12700" bIns="12700" anchor="t" anchorCtr="0" upright="1">
                        <a:noAutofit/>
                      </wps:bodyPr>
                    </wps:wsp>
                    <wps:wsp>
                      <wps:cNvPr id="40" name="Rectangle 8"/>
                      <wps:cNvSpPr>
                        <a:spLocks noChangeArrowheads="1"/>
                      </wps:cNvSpPr>
                      <wps:spPr bwMode="auto">
                        <a:xfrm>
                          <a:off x="0" y="19308"/>
                          <a:ext cx="20000" cy="699"/>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706F7" w:rsidRDefault="00F706F7">
                            <w:pPr>
                              <w:rPr>
                                <w:rtl/>
                              </w:rPr>
                            </w:pPr>
                            <w:r>
                              <w:rPr>
                                <w:szCs w:val="28"/>
                                <w:rtl/>
                              </w:rPr>
                              <w:t>ז</w:t>
                            </w:r>
                          </w:p>
                        </w:txbxContent>
                      </wps:txbx>
                      <wps:bodyPr rot="0" vert="horz" wrap="square" lIns="12700" tIns="12700" rIns="12700" bIns="1270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 o:spid="_x0000_s1026" style="position:absolute;left:0;text-align:left;margin-left:-36.85pt;margin-top:25.5pt;width:13.5pt;height:412.2pt;z-index:251655680;mso-position-vertical-relative:margin" coordsize="20000,200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" o:allowincell="f">
              <v:rect id="Rectangle 2" o:spid="_x0000_s1027" style="position:absolute;width:20000;height:6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" filled="f" stroked="f" strokeweight=".25pt">
                <v:textbox inset="1pt,1pt,1pt,1pt">
                  <w:txbxContent>
                    <w:p w:rsidR="00F706F7" w:rsidRDefault="00F706F7">
                      <w:pPr>
                        <w:rPr>
                          <w:rtl/>
                        </w:rPr>
                      </w:pPr>
                      <w:r>
                        <w:rPr>
                          <w:szCs w:val="28"/>
                          <w:rtl/>
                        </w:rPr>
                        <w:t>א</w:t>
                      </w:r>
                    </w:p>
                  </w:txbxContent>
                </v:textbox>
              </v:rect>
              <v:rect id="Rectangle 3" o:spid="_x0000_s1028" style="position:absolute;top:3264;width:20000;height:6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" filled="f" stroked="f">
                <v:textbox inset="1pt,1pt,1pt,1pt">
                  <w:txbxContent>
                    <w:p w:rsidR="00F706F7" w:rsidRDefault="00F706F7">
                      <w:pPr>
                        <w:rPr>
                          <w:rtl/>
                        </w:rPr>
                      </w:pPr>
                      <w:r>
                        <w:rPr>
                          <w:szCs w:val="28"/>
                          <w:rtl/>
                        </w:rPr>
                        <w:t>ב</w:t>
                      </w:r>
                    </w:p>
                  </w:txbxContent>
                </v:textbox>
              </v:rect>
              <v:rect id="Rectangle 4" o:spid="_x0000_s1029" style="position:absolute;top:6460;width:20000;height:6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" filled="f" stroked="f">
                <v:textbox inset="1pt,1pt,1pt,1pt">
                  <w:txbxContent>
                    <w:p w:rsidR="00F706F7" w:rsidRDefault="00F706F7">
                      <w:pPr>
                        <w:rPr>
                          <w:rtl/>
                        </w:rPr>
                      </w:pPr>
                      <w:r>
                        <w:rPr>
                          <w:szCs w:val="28"/>
                          <w:rtl/>
                        </w:rPr>
                        <w:t>ג</w:t>
                      </w:r>
                    </w:p>
                  </w:txbxContent>
                </v:textbox>
              </v:rect>
              <v:rect id="Rectangle 5" o:spid="_x0000_s1030" style="position:absolute;top:9656;width:20000;height:6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" filled="f" stroked="f">
                <v:textbox inset="1pt,1pt,1pt,1pt">
                  <w:txbxContent>
                    <w:p w:rsidR="00F706F7" w:rsidRDefault="00F706F7">
                      <w:pPr>
                        <w:rPr>
                          <w:rtl/>
                        </w:rPr>
                      </w:pPr>
                      <w:r>
                        <w:rPr>
                          <w:szCs w:val="28"/>
                          <w:rtl/>
                        </w:rPr>
                        <w:t>ד</w:t>
                      </w:r>
                    </w:p>
                  </w:txbxContent>
                </v:textbox>
              </v:rect>
              <v:rect id="Rectangle 6" o:spid="_x0000_s1031" style="position:absolute;top:12850;width:20000;height:6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" filled="f" stroked="f">
                <v:textbox inset="1pt,1pt,1pt,1pt">
                  <w:txbxContent>
                    <w:p w:rsidR="00F706F7" w:rsidRDefault="00F706F7">
                      <w:pPr>
                        <w:rPr>
                          <w:rtl/>
                        </w:rPr>
                      </w:pPr>
                      <w:r>
                        <w:rPr>
                          <w:szCs w:val="28"/>
                          <w:rtl/>
                        </w:rPr>
                        <w:t>ה</w:t>
                      </w:r>
                    </w:p>
                  </w:txbxContent>
                </v:textbox>
              </v:rect>
              <v:rect id="Rectangle 7" o:spid="_x0000_s1032" style="position:absolute;top:16114;width:20000;height:6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" filled="f" stroked="f">
                <v:textbox inset="1pt,1pt,1pt,1pt">
                  <w:txbxContent>
                    <w:p w:rsidR="00F706F7" w:rsidRDefault="00F706F7">
                      <w:pPr>
                        <w:rPr>
                          <w:rtl/>
                        </w:rPr>
                      </w:pPr>
                      <w:r>
                        <w:rPr>
                          <w:szCs w:val="28"/>
                          <w:rtl/>
                        </w:rPr>
                        <w:t>ו</w:t>
                      </w:r>
                    </w:p>
                  </w:txbxContent>
                </v:textbox>
              </v:rect>
              <v:rect id="Rectangle 8" o:spid="_x0000_s1033" style="position:absolute;top:19308;width:20000;height:6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" filled="f" stroked="f">
                <v:textbox inset="1pt,1pt,1pt,1pt">
                  <w:txbxContent>
                    <w:p w:rsidR="00F706F7" w:rsidRDefault="00F706F7">
                      <w:pPr>
                        <w:rPr>
                          <w:rtl/>
                        </w:rPr>
                      </w:pPr>
                      <w:r>
                        <w:rPr>
                          <w:szCs w:val="28"/>
                          <w:rtl/>
                        </w:rPr>
                        <w:t>ז</w:t>
                      </w:r>
                    </w:p>
                  </w:txbxContent>
                </v:textbox>
              </v:rect>
              <w10:wrap anchory="margin"/>
            </v:group>
          </w:pict>
        </mc:Fallback>
      </mc:AlternateContent>
    </w:r>
    <w:r w:rsidR="00F706F7">
      <w:rPr>
        <w:rFonts w:cs="FrankRuehl"/>
        <w:szCs w:val="22"/>
        <w:rtl/>
      </w:rPr>
      <w:t>פ"ד נ</w:t>
    </w:r>
    <w:r w:rsidR="00F706F7">
      <w:rPr>
        <w:rFonts w:cs="FrankRuehl" w:hint="cs"/>
        <w:szCs w:val="22"/>
        <w:rtl/>
      </w:rPr>
      <w:t>ח</w:t>
    </w:r>
    <w:r w:rsidR="00F706F7">
      <w:rPr>
        <w:rFonts w:cs="FrankRuehl"/>
        <w:szCs w:val="22"/>
        <w:rtl/>
      </w:rPr>
      <w:t>(</w:t>
    </w:r>
    <w:r w:rsidR="00F706F7">
      <w:rPr>
        <w:rFonts w:cs="FrankRuehl" w:hint="cs"/>
        <w:szCs w:val="22"/>
        <w:rtl/>
      </w:rPr>
      <w:t>1</w:t>
    </w:r>
    <w:r w:rsidR="00F706F7">
      <w:rPr>
        <w:rFonts w:cs="FrankRuehl"/>
        <w:szCs w:val="22"/>
        <w:rtl/>
      </w:rPr>
      <w:t xml:space="preserve">) </w:t>
    </w:r>
    <w:r w:rsidR="00F706F7">
      <w:rPr>
        <w:rFonts w:cs="FrankRuehl" w:hint="cs"/>
        <w:sz w:val="22"/>
        <w:szCs w:val="22"/>
        <w:rtl/>
      </w:rPr>
      <w:t>721</w:t>
    </w:r>
    <w:r w:rsidR="00F706F7">
      <w:rPr>
        <w:rtl/>
      </w:rPr>
      <w:tab/>
    </w:r>
    <w:r w:rsidR="00F706F7">
      <w:rPr>
        <w:rFonts w:hint="cs"/>
        <w:rtl/>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06F7" w:rsidRDefault="00F706F7">
    <w:pPr>
      <w:pStyle w:val="Header"/>
      <w:pBdr>
        <w:bottom w:val="single" w:sz="6" w:space="1" w:color="auto"/>
      </w:pBdr>
      <w:tabs>
        <w:tab w:val="clear" w:pos="4153"/>
        <w:tab w:val="clear" w:pos="8306"/>
        <w:tab w:val="right" w:pos="6521"/>
        <w:tab w:val="center" w:pos="9498"/>
      </w:tabs>
      <w:rPr>
        <w:rFonts w:hint="cs"/>
        <w:rtl/>
      </w:rPr>
    </w:pPr>
    <w:r>
      <w:rPr>
        <w:rFonts w:hint="cs"/>
        <w:rtl/>
      </w:rPr>
      <w:t>ע"פ</w:t>
    </w:r>
    <w:r>
      <w:rPr>
        <w:rtl/>
      </w:rPr>
      <w:t xml:space="preserve"> </w:t>
    </w:r>
    <w:r>
      <w:rPr>
        <w:rFonts w:hint="cs"/>
        <w:rtl/>
      </w:rPr>
      <w:t>1042/03</w:t>
    </w:r>
    <w:r>
      <w:rPr>
        <w:rtl/>
      </w:rPr>
      <w:tab/>
    </w:r>
    <w:r>
      <w:rPr>
        <w:rFonts w:hint="cs"/>
        <w:rtl/>
      </w:rPr>
      <w:t>מצרפלס שותפות מוגבלת בע"מ (1974) נ' מדינת ישראל</w:t>
    </w:r>
  </w:p>
  <w:p w:rsidR="00F706F7" w:rsidRDefault="00564E42">
    <w:pPr>
      <w:pStyle w:val="2"/>
      <w:jc w:val="left"/>
      <w:rPr>
        <w:rFonts w:hint="cs"/>
        <w:rtl/>
      </w:rPr>
    </w:pPr>
    <w:r>
      <w:rPr>
        <w:rFonts w:cs="FrankRuehl"/>
        <w:noProof/>
        <w:szCs w:val="22"/>
        <w:rtl/>
        <w:lang w:eastAsia="en-US"/>
      </w:rPr>
      <mc:AlternateContent>
        <mc:Choice Requires="wpg">
          <w:drawing>
            <wp:anchor distT="0" distB="0" distL="114300" distR="114300" simplePos="0" relativeHeight="251656704" behindDoc="0" locked="0" layoutInCell="0" allowOverlap="1">
              <wp:simplePos x="0" y="0"/>
              <wp:positionH relativeFrom="column">
                <wp:posOffset>4428490</wp:posOffset>
              </wp:positionH>
              <wp:positionV relativeFrom="margin">
                <wp:posOffset>323850</wp:posOffset>
              </wp:positionV>
              <wp:extent cx="171450" cy="5234940"/>
              <wp:effectExtent l="0" t="0" r="0" b="0"/>
              <wp:wrapNone/>
              <wp:docPr id="25"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1450" cy="5234940"/>
                        <a:chOff x="0" y="0"/>
                        <a:chExt cx="20000" cy="20007"/>
                      </a:xfrm>
                    </wpg:grpSpPr>
                    <wps:wsp>
                      <wps:cNvPr id="26" name="Rectangle 34"/>
                      <wps:cNvSpPr>
                        <a:spLocks noChangeArrowheads="1"/>
                      </wps:cNvSpPr>
                      <wps:spPr bwMode="auto">
                        <a:xfrm>
                          <a:off x="0" y="0"/>
                          <a:ext cx="20000" cy="699"/>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706F7" w:rsidRDefault="00F706F7">
                            <w:pPr>
                              <w:rPr>
                                <w:rtl/>
                              </w:rPr>
                            </w:pPr>
                            <w:r>
                              <w:rPr>
                                <w:szCs w:val="28"/>
                                <w:rtl/>
                              </w:rPr>
                              <w:t>א</w:t>
                            </w:r>
                          </w:p>
                        </w:txbxContent>
                      </wps:txbx>
                      <wps:bodyPr rot="0" vert="horz" wrap="square" lIns="12700" tIns="12700" rIns="12700" bIns="12700" anchor="t" anchorCtr="0" upright="1">
                        <a:noAutofit/>
                      </wps:bodyPr>
                    </wps:wsp>
                    <wps:wsp>
                      <wps:cNvPr id="27" name="Rectangle 35"/>
                      <wps:cNvSpPr>
                        <a:spLocks noChangeArrowheads="1"/>
                      </wps:cNvSpPr>
                      <wps:spPr bwMode="auto">
                        <a:xfrm>
                          <a:off x="0" y="3264"/>
                          <a:ext cx="20000" cy="699"/>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706F7" w:rsidRDefault="00F706F7">
                            <w:pPr>
                              <w:rPr>
                                <w:rtl/>
                              </w:rPr>
                            </w:pPr>
                            <w:r>
                              <w:rPr>
                                <w:szCs w:val="28"/>
                                <w:rtl/>
                              </w:rPr>
                              <w:t>ב</w:t>
                            </w:r>
                          </w:p>
                        </w:txbxContent>
                      </wps:txbx>
                      <wps:bodyPr rot="0" vert="horz" wrap="square" lIns="12700" tIns="12700" rIns="12700" bIns="12700" anchor="t" anchorCtr="0" upright="1">
                        <a:noAutofit/>
                      </wps:bodyPr>
                    </wps:wsp>
                    <wps:wsp>
                      <wps:cNvPr id="28" name="Rectangle 36"/>
                      <wps:cNvSpPr>
                        <a:spLocks noChangeArrowheads="1"/>
                      </wps:cNvSpPr>
                      <wps:spPr bwMode="auto">
                        <a:xfrm>
                          <a:off x="0" y="6460"/>
                          <a:ext cx="20000" cy="699"/>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706F7" w:rsidRDefault="00F706F7">
                            <w:pPr>
                              <w:rPr>
                                <w:rtl/>
                              </w:rPr>
                            </w:pPr>
                            <w:r>
                              <w:rPr>
                                <w:szCs w:val="28"/>
                                <w:rtl/>
                              </w:rPr>
                              <w:t>ג</w:t>
                            </w:r>
                          </w:p>
                        </w:txbxContent>
                      </wps:txbx>
                      <wps:bodyPr rot="0" vert="horz" wrap="square" lIns="12700" tIns="12700" rIns="12700" bIns="12700" anchor="t" anchorCtr="0" upright="1">
                        <a:noAutofit/>
                      </wps:bodyPr>
                    </wps:wsp>
                    <wps:wsp>
                      <wps:cNvPr id="29" name="Rectangle 37"/>
                      <wps:cNvSpPr>
                        <a:spLocks noChangeArrowheads="1"/>
                      </wps:cNvSpPr>
                      <wps:spPr bwMode="auto">
                        <a:xfrm>
                          <a:off x="0" y="9656"/>
                          <a:ext cx="20000" cy="699"/>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706F7" w:rsidRDefault="00F706F7">
                            <w:pPr>
                              <w:rPr>
                                <w:rtl/>
                              </w:rPr>
                            </w:pPr>
                            <w:r>
                              <w:rPr>
                                <w:szCs w:val="28"/>
                                <w:rtl/>
                              </w:rPr>
                              <w:t>ד</w:t>
                            </w:r>
                          </w:p>
                        </w:txbxContent>
                      </wps:txbx>
                      <wps:bodyPr rot="0" vert="horz" wrap="square" lIns="12700" tIns="12700" rIns="12700" bIns="12700" anchor="t" anchorCtr="0" upright="1">
                        <a:noAutofit/>
                      </wps:bodyPr>
                    </wps:wsp>
                    <wps:wsp>
                      <wps:cNvPr id="30" name="Rectangle 38"/>
                      <wps:cNvSpPr>
                        <a:spLocks noChangeArrowheads="1"/>
                      </wps:cNvSpPr>
                      <wps:spPr bwMode="auto">
                        <a:xfrm>
                          <a:off x="0" y="12850"/>
                          <a:ext cx="20000" cy="699"/>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706F7" w:rsidRDefault="00F706F7">
                            <w:pPr>
                              <w:rPr>
                                <w:rtl/>
                              </w:rPr>
                            </w:pPr>
                            <w:r>
                              <w:rPr>
                                <w:szCs w:val="28"/>
                                <w:rtl/>
                              </w:rPr>
                              <w:t>ה</w:t>
                            </w:r>
                          </w:p>
                        </w:txbxContent>
                      </wps:txbx>
                      <wps:bodyPr rot="0" vert="horz" wrap="square" lIns="12700" tIns="12700" rIns="12700" bIns="12700" anchor="t" anchorCtr="0" upright="1">
                        <a:noAutofit/>
                      </wps:bodyPr>
                    </wps:wsp>
                    <wps:wsp>
                      <wps:cNvPr id="31" name="Rectangle 39"/>
                      <wps:cNvSpPr>
                        <a:spLocks noChangeArrowheads="1"/>
                      </wps:cNvSpPr>
                      <wps:spPr bwMode="auto">
                        <a:xfrm>
                          <a:off x="0" y="16114"/>
                          <a:ext cx="20000" cy="699"/>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706F7" w:rsidRDefault="00F706F7">
                            <w:pPr>
                              <w:rPr>
                                <w:rtl/>
                              </w:rPr>
                            </w:pPr>
                            <w:r>
                              <w:rPr>
                                <w:szCs w:val="28"/>
                                <w:rtl/>
                              </w:rPr>
                              <w:t>ו</w:t>
                            </w:r>
                          </w:p>
                        </w:txbxContent>
                      </wps:txbx>
                      <wps:bodyPr rot="0" vert="horz" wrap="square" lIns="12700" tIns="12700" rIns="12700" bIns="12700" anchor="t" anchorCtr="0" upright="1">
                        <a:noAutofit/>
                      </wps:bodyPr>
                    </wps:wsp>
                    <wps:wsp>
                      <wps:cNvPr id="32" name="Rectangle 40"/>
                      <wps:cNvSpPr>
                        <a:spLocks noChangeArrowheads="1"/>
                      </wps:cNvSpPr>
                      <wps:spPr bwMode="auto">
                        <a:xfrm>
                          <a:off x="0" y="19308"/>
                          <a:ext cx="20000" cy="699"/>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706F7" w:rsidRDefault="00F706F7">
                            <w:pPr>
                              <w:rPr>
                                <w:rtl/>
                              </w:rPr>
                            </w:pPr>
                            <w:r>
                              <w:rPr>
                                <w:szCs w:val="28"/>
                                <w:rtl/>
                              </w:rPr>
                              <w:t>ז</w:t>
                            </w:r>
                          </w:p>
                        </w:txbxContent>
                      </wps:txbx>
                      <wps:bodyPr rot="0" vert="horz" wrap="square" lIns="12700" tIns="12700" rIns="12700" bIns="1270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33" o:spid="_x0000_s1034" style="position:absolute;left:0;text-align:left;margin-left:348.7pt;margin-top:25.5pt;width:13.5pt;height:412.2pt;z-index:251656704;mso-position-vertical-relative:margin" coordsize="20000,200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" o:allowincell="f">
              <v:rect id="Rectangle 34" o:spid="_x0000_s1035" style="position:absolute;width:20000;height:6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" filled="f" stroked="f" strokeweight=".25pt">
                <v:textbox inset="1pt,1pt,1pt,1pt">
                  <w:txbxContent>
                    <w:p w:rsidR="00F706F7" w:rsidRDefault="00F706F7">
                      <w:pPr>
                        <w:rPr>
                          <w:rtl/>
                        </w:rPr>
                      </w:pPr>
                      <w:r>
                        <w:rPr>
                          <w:szCs w:val="28"/>
                          <w:rtl/>
                        </w:rPr>
                        <w:t>א</w:t>
                      </w:r>
                    </w:p>
                  </w:txbxContent>
                </v:textbox>
              </v:rect>
              <v:rect id="Rectangle 35" o:spid="_x0000_s1036" style="position:absolute;top:3264;width:20000;height:6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" filled="f" stroked="f">
                <v:textbox inset="1pt,1pt,1pt,1pt">
                  <w:txbxContent>
                    <w:p w:rsidR="00F706F7" w:rsidRDefault="00F706F7">
                      <w:pPr>
                        <w:rPr>
                          <w:rtl/>
                        </w:rPr>
                      </w:pPr>
                      <w:r>
                        <w:rPr>
                          <w:szCs w:val="28"/>
                          <w:rtl/>
                        </w:rPr>
                        <w:t>ב</w:t>
                      </w:r>
                    </w:p>
                  </w:txbxContent>
                </v:textbox>
              </v:rect>
              <v:rect id="Rectangle 36" o:spid="_x0000_s1037" style="position:absolute;top:6460;width:20000;height:6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" filled="f" stroked="f">
                <v:textbox inset="1pt,1pt,1pt,1pt">
                  <w:txbxContent>
                    <w:p w:rsidR="00F706F7" w:rsidRDefault="00F706F7">
                      <w:pPr>
                        <w:rPr>
                          <w:rtl/>
                        </w:rPr>
                      </w:pPr>
                      <w:r>
                        <w:rPr>
                          <w:szCs w:val="28"/>
                          <w:rtl/>
                        </w:rPr>
                        <w:t>ג</w:t>
                      </w:r>
                    </w:p>
                  </w:txbxContent>
                </v:textbox>
              </v:rect>
              <v:rect id="Rectangle 37" o:spid="_x0000_s1038" style="position:absolute;top:9656;width:20000;height:6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" filled="f" stroked="f">
                <v:textbox inset="1pt,1pt,1pt,1pt">
                  <w:txbxContent>
                    <w:p w:rsidR="00F706F7" w:rsidRDefault="00F706F7">
                      <w:pPr>
                        <w:rPr>
                          <w:rtl/>
                        </w:rPr>
                      </w:pPr>
                      <w:r>
                        <w:rPr>
                          <w:szCs w:val="28"/>
                          <w:rtl/>
                        </w:rPr>
                        <w:t>ד</w:t>
                      </w:r>
                    </w:p>
                  </w:txbxContent>
                </v:textbox>
              </v:rect>
              <v:rect id="Rectangle 38" o:spid="_x0000_s1039" style="position:absolute;top:12850;width:20000;height:6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" filled="f" stroked="f">
                <v:textbox inset="1pt,1pt,1pt,1pt">
                  <w:txbxContent>
                    <w:p w:rsidR="00F706F7" w:rsidRDefault="00F706F7">
                      <w:pPr>
                        <w:rPr>
                          <w:rtl/>
                        </w:rPr>
                      </w:pPr>
                      <w:r>
                        <w:rPr>
                          <w:szCs w:val="28"/>
                          <w:rtl/>
                        </w:rPr>
                        <w:t>ה</w:t>
                      </w:r>
                    </w:p>
                  </w:txbxContent>
                </v:textbox>
              </v:rect>
              <v:rect id="Rectangle 39" o:spid="_x0000_s1040" style="position:absolute;top:16114;width:20000;height:6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" filled="f" stroked="f">
                <v:textbox inset="1pt,1pt,1pt,1pt">
                  <w:txbxContent>
                    <w:p w:rsidR="00F706F7" w:rsidRDefault="00F706F7">
                      <w:pPr>
                        <w:rPr>
                          <w:rtl/>
                        </w:rPr>
                      </w:pPr>
                      <w:r>
                        <w:rPr>
                          <w:szCs w:val="28"/>
                          <w:rtl/>
                        </w:rPr>
                        <w:t>ו</w:t>
                      </w:r>
                    </w:p>
                  </w:txbxContent>
                </v:textbox>
              </v:rect>
              <v:rect id="Rectangle 40" o:spid="_x0000_s1041" style="position:absolute;top:19308;width:20000;height:6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" filled="f" stroked="f">
                <v:textbox inset="1pt,1pt,1pt,1pt">
                  <w:txbxContent>
                    <w:p w:rsidR="00F706F7" w:rsidRDefault="00F706F7">
                      <w:pPr>
                        <w:rPr>
                          <w:rtl/>
                        </w:rPr>
                      </w:pPr>
                      <w:r>
                        <w:rPr>
                          <w:szCs w:val="28"/>
                          <w:rtl/>
                        </w:rPr>
                        <w:t>ז</w:t>
                      </w:r>
                    </w:p>
                  </w:txbxContent>
                </v:textbox>
              </v:rect>
              <w10:wrap anchory="margin"/>
            </v:group>
          </w:pict>
        </mc:Fallback>
      </mc:AlternateContent>
    </w:r>
    <w:r w:rsidR="00F706F7">
      <w:rPr>
        <w:rFonts w:cs="FrankRuehl"/>
        <w:szCs w:val="22"/>
        <w:rtl/>
      </w:rPr>
      <w:t>פ"ד נ</w:t>
    </w:r>
    <w:r w:rsidR="00F706F7">
      <w:rPr>
        <w:rFonts w:cs="FrankRuehl" w:hint="cs"/>
        <w:szCs w:val="22"/>
        <w:rtl/>
      </w:rPr>
      <w:t>ח</w:t>
    </w:r>
    <w:r w:rsidR="00F706F7">
      <w:rPr>
        <w:rFonts w:cs="FrankRuehl"/>
        <w:szCs w:val="22"/>
        <w:rtl/>
      </w:rPr>
      <w:t>(</w:t>
    </w:r>
    <w:r w:rsidR="00F706F7">
      <w:rPr>
        <w:rFonts w:cs="FrankRuehl" w:hint="cs"/>
        <w:szCs w:val="22"/>
        <w:rtl/>
      </w:rPr>
      <w:t>1</w:t>
    </w:r>
    <w:r w:rsidR="00F706F7">
      <w:rPr>
        <w:rFonts w:cs="FrankRuehl"/>
        <w:szCs w:val="22"/>
        <w:rtl/>
      </w:rPr>
      <w:t xml:space="preserve">) </w:t>
    </w:r>
    <w:r w:rsidR="00F706F7">
      <w:rPr>
        <w:rFonts w:cs="FrankRuehl" w:hint="cs"/>
        <w:sz w:val="22"/>
        <w:szCs w:val="22"/>
        <w:rtl/>
      </w:rPr>
      <w:t>721</w:t>
    </w:r>
    <w:r w:rsidR="00F706F7">
      <w:rPr>
        <w:rtl/>
      </w:rPr>
      <w:tab/>
    </w:r>
    <w:r w:rsidR="00F706F7">
      <w:rPr>
        <w:rFonts w:hint="cs"/>
        <w:rtl/>
      </w:rPr>
      <w:t>השופטת מ' נאור</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06F7" w:rsidRDefault="00564E42">
    <w:pPr>
      <w:pStyle w:val="Header"/>
    </w:pPr>
    <w:r>
      <w:rPr>
        <w:noProof/>
        <w:lang w:eastAsia="en-US"/>
      </w:rPr>
      <mc:AlternateContent>
        <mc:Choice Requires="wpg">
          <w:drawing>
            <wp:anchor distT="0" distB="0" distL="114300" distR="114300" simplePos="0" relativeHeight="251657728" behindDoc="0" locked="0" layoutInCell="1" allowOverlap="1">
              <wp:simplePos x="0" y="0"/>
              <wp:positionH relativeFrom="column">
                <wp:posOffset>4428490</wp:posOffset>
              </wp:positionH>
              <wp:positionV relativeFrom="margin">
                <wp:posOffset>323850</wp:posOffset>
              </wp:positionV>
              <wp:extent cx="171450" cy="5234940"/>
              <wp:effectExtent l="0" t="0" r="0" b="0"/>
              <wp:wrapNone/>
              <wp:docPr id="17" name="Group 4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1450" cy="5234940"/>
                        <a:chOff x="0" y="0"/>
                        <a:chExt cx="20000" cy="20007"/>
                      </a:xfrm>
                    </wpg:grpSpPr>
                    <wps:wsp>
                      <wps:cNvPr id="18" name="Rectangle 42"/>
                      <wps:cNvSpPr>
                        <a:spLocks noChangeArrowheads="1"/>
                      </wps:cNvSpPr>
                      <wps:spPr bwMode="auto">
                        <a:xfrm>
                          <a:off x="0" y="0"/>
                          <a:ext cx="20000" cy="699"/>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706F7" w:rsidRDefault="00F706F7">
                            <w:pPr>
                              <w:rPr>
                                <w:rtl/>
                              </w:rPr>
                            </w:pPr>
                            <w:r>
                              <w:rPr>
                                <w:szCs w:val="28"/>
                                <w:rtl/>
                              </w:rPr>
                              <w:t>א</w:t>
                            </w:r>
                          </w:p>
                        </w:txbxContent>
                      </wps:txbx>
                      <wps:bodyPr rot="0" vert="horz" wrap="square" lIns="12700" tIns="12700" rIns="12700" bIns="12700" anchor="t" anchorCtr="0" upright="1">
                        <a:noAutofit/>
                      </wps:bodyPr>
                    </wps:wsp>
                    <wps:wsp>
                      <wps:cNvPr id="19" name="Rectangle 43"/>
                      <wps:cNvSpPr>
                        <a:spLocks noChangeArrowheads="1"/>
                      </wps:cNvSpPr>
                      <wps:spPr bwMode="auto">
                        <a:xfrm>
                          <a:off x="0" y="3264"/>
                          <a:ext cx="20000" cy="699"/>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706F7" w:rsidRDefault="00F706F7">
                            <w:pPr>
                              <w:rPr>
                                <w:rtl/>
                              </w:rPr>
                            </w:pPr>
                            <w:r>
                              <w:rPr>
                                <w:szCs w:val="28"/>
                                <w:rtl/>
                              </w:rPr>
                              <w:t>ב</w:t>
                            </w:r>
                          </w:p>
                        </w:txbxContent>
                      </wps:txbx>
                      <wps:bodyPr rot="0" vert="horz" wrap="square" lIns="12700" tIns="12700" rIns="12700" bIns="12700" anchor="t" anchorCtr="0" upright="1">
                        <a:noAutofit/>
                      </wps:bodyPr>
                    </wps:wsp>
                    <wps:wsp>
                      <wps:cNvPr id="20" name="Rectangle 44"/>
                      <wps:cNvSpPr>
                        <a:spLocks noChangeArrowheads="1"/>
                      </wps:cNvSpPr>
                      <wps:spPr bwMode="auto">
                        <a:xfrm>
                          <a:off x="0" y="6460"/>
                          <a:ext cx="20000" cy="699"/>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706F7" w:rsidRDefault="00F706F7">
                            <w:pPr>
                              <w:rPr>
                                <w:rtl/>
                              </w:rPr>
                            </w:pPr>
                            <w:r>
                              <w:rPr>
                                <w:szCs w:val="28"/>
                                <w:rtl/>
                              </w:rPr>
                              <w:t>ג</w:t>
                            </w:r>
                          </w:p>
                        </w:txbxContent>
                      </wps:txbx>
                      <wps:bodyPr rot="0" vert="horz" wrap="square" lIns="12700" tIns="12700" rIns="12700" bIns="12700" anchor="t" anchorCtr="0" upright="1">
                        <a:noAutofit/>
                      </wps:bodyPr>
                    </wps:wsp>
                    <wps:wsp>
                      <wps:cNvPr id="21" name="Rectangle 45"/>
                      <wps:cNvSpPr>
                        <a:spLocks noChangeArrowheads="1"/>
                      </wps:cNvSpPr>
                      <wps:spPr bwMode="auto">
                        <a:xfrm>
                          <a:off x="0" y="9656"/>
                          <a:ext cx="20000" cy="699"/>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706F7" w:rsidRDefault="00F706F7">
                            <w:pPr>
                              <w:rPr>
                                <w:rtl/>
                              </w:rPr>
                            </w:pPr>
                            <w:r>
                              <w:rPr>
                                <w:szCs w:val="28"/>
                                <w:rtl/>
                              </w:rPr>
                              <w:t>ד</w:t>
                            </w:r>
                          </w:p>
                        </w:txbxContent>
                      </wps:txbx>
                      <wps:bodyPr rot="0" vert="horz" wrap="square" lIns="12700" tIns="12700" rIns="12700" bIns="12700" anchor="t" anchorCtr="0" upright="1">
                        <a:noAutofit/>
                      </wps:bodyPr>
                    </wps:wsp>
                    <wps:wsp>
                      <wps:cNvPr id="22" name="Rectangle 46"/>
                      <wps:cNvSpPr>
                        <a:spLocks noChangeArrowheads="1"/>
                      </wps:cNvSpPr>
                      <wps:spPr bwMode="auto">
                        <a:xfrm>
                          <a:off x="0" y="12850"/>
                          <a:ext cx="20000" cy="699"/>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706F7" w:rsidRDefault="00F706F7">
                            <w:pPr>
                              <w:rPr>
                                <w:rtl/>
                              </w:rPr>
                            </w:pPr>
                            <w:r>
                              <w:rPr>
                                <w:szCs w:val="28"/>
                                <w:rtl/>
                              </w:rPr>
                              <w:t>ה</w:t>
                            </w:r>
                          </w:p>
                        </w:txbxContent>
                      </wps:txbx>
                      <wps:bodyPr rot="0" vert="horz" wrap="square" lIns="12700" tIns="12700" rIns="12700" bIns="12700" anchor="t" anchorCtr="0" upright="1">
                        <a:noAutofit/>
                      </wps:bodyPr>
                    </wps:wsp>
                    <wps:wsp>
                      <wps:cNvPr id="23" name="Rectangle 47"/>
                      <wps:cNvSpPr>
                        <a:spLocks noChangeArrowheads="1"/>
                      </wps:cNvSpPr>
                      <wps:spPr bwMode="auto">
                        <a:xfrm>
                          <a:off x="0" y="16114"/>
                          <a:ext cx="20000" cy="699"/>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706F7" w:rsidRDefault="00F706F7">
                            <w:pPr>
                              <w:rPr>
                                <w:rtl/>
                              </w:rPr>
                            </w:pPr>
                            <w:r>
                              <w:rPr>
                                <w:szCs w:val="28"/>
                                <w:rtl/>
                              </w:rPr>
                              <w:t>ו</w:t>
                            </w:r>
                          </w:p>
                        </w:txbxContent>
                      </wps:txbx>
                      <wps:bodyPr rot="0" vert="horz" wrap="square" lIns="12700" tIns="12700" rIns="12700" bIns="12700" anchor="t" anchorCtr="0" upright="1">
                        <a:noAutofit/>
                      </wps:bodyPr>
                    </wps:wsp>
                    <wps:wsp>
                      <wps:cNvPr id="24" name="Rectangle 48"/>
                      <wps:cNvSpPr>
                        <a:spLocks noChangeArrowheads="1"/>
                      </wps:cNvSpPr>
                      <wps:spPr bwMode="auto">
                        <a:xfrm>
                          <a:off x="0" y="19308"/>
                          <a:ext cx="20000" cy="699"/>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706F7" w:rsidRDefault="00F706F7">
                            <w:pPr>
                              <w:rPr>
                                <w:rtl/>
                              </w:rPr>
                            </w:pPr>
                            <w:r>
                              <w:rPr>
                                <w:szCs w:val="28"/>
                                <w:rtl/>
                              </w:rPr>
                              <w:t>ז</w:t>
                            </w:r>
                          </w:p>
                        </w:txbxContent>
                      </wps:txbx>
                      <wps:bodyPr rot="0" vert="horz" wrap="square" lIns="12700" tIns="12700" rIns="12700" bIns="1270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41" o:spid="_x0000_s1042" style="position:absolute;left:0;text-align:left;margin-left:348.7pt;margin-top:25.5pt;width:13.5pt;height:412.2pt;z-index:251657728;mso-position-vertical-relative:margin" coordsize="20000,200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">
              <v:rect id="Rectangle 42" o:spid="_x0000_s1043" style="position:absolute;width:20000;height:6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" filled="f" stroked="f" strokeweight=".25pt">
                <v:textbox inset="1pt,1pt,1pt,1pt">
                  <w:txbxContent>
                    <w:p w:rsidR="00F706F7" w:rsidRDefault="00F706F7">
                      <w:pPr>
                        <w:rPr>
                          <w:rtl/>
                        </w:rPr>
                      </w:pPr>
                      <w:r>
                        <w:rPr>
                          <w:szCs w:val="28"/>
                          <w:rtl/>
                        </w:rPr>
                        <w:t>א</w:t>
                      </w:r>
                    </w:p>
                  </w:txbxContent>
                </v:textbox>
              </v:rect>
              <v:rect id="Rectangle 43" o:spid="_x0000_s1044" style="position:absolute;top:3264;width:20000;height:6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" filled="f" stroked="f">
                <v:textbox inset="1pt,1pt,1pt,1pt">
                  <w:txbxContent>
                    <w:p w:rsidR="00F706F7" w:rsidRDefault="00F706F7">
                      <w:pPr>
                        <w:rPr>
                          <w:rtl/>
                        </w:rPr>
                      </w:pPr>
                      <w:r>
                        <w:rPr>
                          <w:szCs w:val="28"/>
                          <w:rtl/>
                        </w:rPr>
                        <w:t>ב</w:t>
                      </w:r>
                    </w:p>
                  </w:txbxContent>
                </v:textbox>
              </v:rect>
              <v:rect id="Rectangle 44" o:spid="_x0000_s1045" style="position:absolute;top:6460;width:20000;height:6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" filled="f" stroked="f">
                <v:textbox inset="1pt,1pt,1pt,1pt">
                  <w:txbxContent>
                    <w:p w:rsidR="00F706F7" w:rsidRDefault="00F706F7">
                      <w:pPr>
                        <w:rPr>
                          <w:rtl/>
                        </w:rPr>
                      </w:pPr>
                      <w:r>
                        <w:rPr>
                          <w:szCs w:val="28"/>
                          <w:rtl/>
                        </w:rPr>
                        <w:t>ג</w:t>
                      </w:r>
                    </w:p>
                  </w:txbxContent>
                </v:textbox>
              </v:rect>
              <v:rect id="Rectangle 45" o:spid="_x0000_s1046" style="position:absolute;top:9656;width:20000;height:6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" filled="f" stroked="f">
                <v:textbox inset="1pt,1pt,1pt,1pt">
                  <w:txbxContent>
                    <w:p w:rsidR="00F706F7" w:rsidRDefault="00F706F7">
                      <w:pPr>
                        <w:rPr>
                          <w:rtl/>
                        </w:rPr>
                      </w:pPr>
                      <w:r>
                        <w:rPr>
                          <w:szCs w:val="28"/>
                          <w:rtl/>
                        </w:rPr>
                        <w:t>ד</w:t>
                      </w:r>
                    </w:p>
                  </w:txbxContent>
                </v:textbox>
              </v:rect>
              <v:rect id="Rectangle 46" o:spid="_x0000_s1047" style="position:absolute;top:12850;width:20000;height:6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" filled="f" stroked="f">
                <v:textbox inset="1pt,1pt,1pt,1pt">
                  <w:txbxContent>
                    <w:p w:rsidR="00F706F7" w:rsidRDefault="00F706F7">
                      <w:pPr>
                        <w:rPr>
                          <w:rtl/>
                        </w:rPr>
                      </w:pPr>
                      <w:r>
                        <w:rPr>
                          <w:szCs w:val="28"/>
                          <w:rtl/>
                        </w:rPr>
                        <w:t>ה</w:t>
                      </w:r>
                    </w:p>
                  </w:txbxContent>
                </v:textbox>
              </v:rect>
              <v:rect id="Rectangle 47" o:spid="_x0000_s1048" style="position:absolute;top:16114;width:20000;height:6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" filled="f" stroked="f">
                <v:textbox inset="1pt,1pt,1pt,1pt">
                  <w:txbxContent>
                    <w:p w:rsidR="00F706F7" w:rsidRDefault="00F706F7">
                      <w:pPr>
                        <w:rPr>
                          <w:rtl/>
                        </w:rPr>
                      </w:pPr>
                      <w:r>
                        <w:rPr>
                          <w:szCs w:val="28"/>
                          <w:rtl/>
                        </w:rPr>
                        <w:t>ו</w:t>
                      </w:r>
                    </w:p>
                  </w:txbxContent>
                </v:textbox>
              </v:rect>
              <v:rect id="Rectangle 48" o:spid="_x0000_s1049" style="position:absolute;top:19308;width:20000;height:6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" filled="f" stroked="f">
                <v:textbox inset="1pt,1pt,1pt,1pt">
                  <w:txbxContent>
                    <w:p w:rsidR="00F706F7" w:rsidRDefault="00F706F7">
                      <w:pPr>
                        <w:rPr>
                          <w:rtl/>
                        </w:rPr>
                      </w:pPr>
                      <w:r>
                        <w:rPr>
                          <w:szCs w:val="28"/>
                          <w:rtl/>
                        </w:rPr>
                        <w:t>ז</w:t>
                      </w:r>
                    </w:p>
                  </w:txbxContent>
                </v:textbox>
              </v:rect>
              <w10:wrap anchory="margin"/>
            </v:group>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06F7" w:rsidRDefault="00F706F7">
    <w:pPr>
      <w:pStyle w:val="Header"/>
      <w:pBdr>
        <w:bottom w:val="single" w:sz="6" w:space="1" w:color="auto"/>
      </w:pBdr>
      <w:tabs>
        <w:tab w:val="clear" w:pos="4153"/>
        <w:tab w:val="clear" w:pos="8306"/>
        <w:tab w:val="right" w:pos="6521"/>
        <w:tab w:val="center" w:pos="9498"/>
      </w:tabs>
      <w:rPr>
        <w:rFonts w:hint="cs"/>
        <w:rtl/>
      </w:rPr>
    </w:pPr>
    <w:r>
      <w:rPr>
        <w:rFonts w:hint="cs"/>
        <w:rtl/>
      </w:rPr>
      <w:t>ע"פ</w:t>
    </w:r>
    <w:r>
      <w:rPr>
        <w:rtl/>
      </w:rPr>
      <w:t xml:space="preserve"> </w:t>
    </w:r>
    <w:r>
      <w:rPr>
        <w:rFonts w:hint="cs"/>
        <w:rtl/>
      </w:rPr>
      <w:t>1042/03</w:t>
    </w:r>
    <w:r>
      <w:rPr>
        <w:rtl/>
      </w:rPr>
      <w:tab/>
    </w:r>
    <w:r>
      <w:rPr>
        <w:rFonts w:hint="cs"/>
        <w:rtl/>
      </w:rPr>
      <w:t>מצרפלס שותפות מוגבלת בע"מ (1974) נ' מדינת ישראל</w:t>
    </w:r>
  </w:p>
  <w:p w:rsidR="00F706F7" w:rsidRDefault="00564E42">
    <w:pPr>
      <w:pStyle w:val="2"/>
      <w:jc w:val="left"/>
      <w:rPr>
        <w:rFonts w:hint="cs"/>
        <w:rtl/>
      </w:rPr>
    </w:pPr>
    <w:r>
      <w:rPr>
        <w:rFonts w:cs="FrankRuehl"/>
        <w:noProof/>
        <w:szCs w:val="22"/>
        <w:rtl/>
        <w:lang w:eastAsia="en-US"/>
      </w:rPr>
      <mc:AlternateContent>
        <mc:Choice Requires="wpg">
          <w:drawing>
            <wp:anchor distT="0" distB="0" distL="114300" distR="114300" simplePos="0" relativeHeight="251658752" behindDoc="0" locked="0" layoutInCell="0" allowOverlap="1">
              <wp:simplePos x="0" y="0"/>
              <wp:positionH relativeFrom="column">
                <wp:posOffset>-467995</wp:posOffset>
              </wp:positionH>
              <wp:positionV relativeFrom="margin">
                <wp:posOffset>323850</wp:posOffset>
              </wp:positionV>
              <wp:extent cx="171450" cy="5234940"/>
              <wp:effectExtent l="0" t="0" r="0" b="0"/>
              <wp:wrapNone/>
              <wp:docPr id="9" name="Group 4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1450" cy="5234940"/>
                        <a:chOff x="0" y="0"/>
                        <a:chExt cx="20000" cy="20007"/>
                      </a:xfrm>
                    </wpg:grpSpPr>
                    <wps:wsp>
                      <wps:cNvPr id="10" name="Rectangle 50"/>
                      <wps:cNvSpPr>
                        <a:spLocks noChangeArrowheads="1"/>
                      </wps:cNvSpPr>
                      <wps:spPr bwMode="auto">
                        <a:xfrm>
                          <a:off x="0" y="0"/>
                          <a:ext cx="20000" cy="699"/>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706F7" w:rsidRDefault="00F706F7">
                            <w:pPr>
                              <w:rPr>
                                <w:rtl/>
                              </w:rPr>
                            </w:pPr>
                            <w:r>
                              <w:rPr>
                                <w:szCs w:val="28"/>
                                <w:rtl/>
                              </w:rPr>
                              <w:t>א</w:t>
                            </w:r>
                          </w:p>
                        </w:txbxContent>
                      </wps:txbx>
                      <wps:bodyPr rot="0" vert="horz" wrap="square" lIns="12700" tIns="12700" rIns="12700" bIns="12700" anchor="t" anchorCtr="0" upright="1">
                        <a:noAutofit/>
                      </wps:bodyPr>
                    </wps:wsp>
                    <wps:wsp>
                      <wps:cNvPr id="11" name="Rectangle 51"/>
                      <wps:cNvSpPr>
                        <a:spLocks noChangeArrowheads="1"/>
                      </wps:cNvSpPr>
                      <wps:spPr bwMode="auto">
                        <a:xfrm>
                          <a:off x="0" y="3264"/>
                          <a:ext cx="20000" cy="699"/>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706F7" w:rsidRDefault="00F706F7">
                            <w:pPr>
                              <w:rPr>
                                <w:rtl/>
                              </w:rPr>
                            </w:pPr>
                            <w:r>
                              <w:rPr>
                                <w:szCs w:val="28"/>
                                <w:rtl/>
                              </w:rPr>
                              <w:t>ב</w:t>
                            </w:r>
                          </w:p>
                        </w:txbxContent>
                      </wps:txbx>
                      <wps:bodyPr rot="0" vert="horz" wrap="square" lIns="12700" tIns="12700" rIns="12700" bIns="12700" anchor="t" anchorCtr="0" upright="1">
                        <a:noAutofit/>
                      </wps:bodyPr>
                    </wps:wsp>
                    <wps:wsp>
                      <wps:cNvPr id="12" name="Rectangle 52"/>
                      <wps:cNvSpPr>
                        <a:spLocks noChangeArrowheads="1"/>
                      </wps:cNvSpPr>
                      <wps:spPr bwMode="auto">
                        <a:xfrm>
                          <a:off x="0" y="6460"/>
                          <a:ext cx="20000" cy="699"/>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706F7" w:rsidRDefault="00F706F7">
                            <w:pPr>
                              <w:rPr>
                                <w:rtl/>
                              </w:rPr>
                            </w:pPr>
                            <w:r>
                              <w:rPr>
                                <w:szCs w:val="28"/>
                                <w:rtl/>
                              </w:rPr>
                              <w:t>ג</w:t>
                            </w:r>
                          </w:p>
                        </w:txbxContent>
                      </wps:txbx>
                      <wps:bodyPr rot="0" vert="horz" wrap="square" lIns="12700" tIns="12700" rIns="12700" bIns="12700" anchor="t" anchorCtr="0" upright="1">
                        <a:noAutofit/>
                      </wps:bodyPr>
                    </wps:wsp>
                    <wps:wsp>
                      <wps:cNvPr id="13" name="Rectangle 53"/>
                      <wps:cNvSpPr>
                        <a:spLocks noChangeArrowheads="1"/>
                      </wps:cNvSpPr>
                      <wps:spPr bwMode="auto">
                        <a:xfrm>
                          <a:off x="0" y="9656"/>
                          <a:ext cx="20000" cy="699"/>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706F7" w:rsidRDefault="00F706F7">
                            <w:pPr>
                              <w:rPr>
                                <w:rtl/>
                              </w:rPr>
                            </w:pPr>
                            <w:r>
                              <w:rPr>
                                <w:szCs w:val="28"/>
                                <w:rtl/>
                              </w:rPr>
                              <w:t>ד</w:t>
                            </w:r>
                          </w:p>
                        </w:txbxContent>
                      </wps:txbx>
                      <wps:bodyPr rot="0" vert="horz" wrap="square" lIns="12700" tIns="12700" rIns="12700" bIns="12700" anchor="t" anchorCtr="0" upright="1">
                        <a:noAutofit/>
                      </wps:bodyPr>
                    </wps:wsp>
                    <wps:wsp>
                      <wps:cNvPr id="14" name="Rectangle 54"/>
                      <wps:cNvSpPr>
                        <a:spLocks noChangeArrowheads="1"/>
                      </wps:cNvSpPr>
                      <wps:spPr bwMode="auto">
                        <a:xfrm>
                          <a:off x="0" y="12850"/>
                          <a:ext cx="20000" cy="699"/>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706F7" w:rsidRDefault="00F706F7">
                            <w:pPr>
                              <w:rPr>
                                <w:rtl/>
                              </w:rPr>
                            </w:pPr>
                            <w:r>
                              <w:rPr>
                                <w:szCs w:val="28"/>
                                <w:rtl/>
                              </w:rPr>
                              <w:t>ה</w:t>
                            </w:r>
                          </w:p>
                        </w:txbxContent>
                      </wps:txbx>
                      <wps:bodyPr rot="0" vert="horz" wrap="square" lIns="12700" tIns="12700" rIns="12700" bIns="12700" anchor="t" anchorCtr="0" upright="1">
                        <a:noAutofit/>
                      </wps:bodyPr>
                    </wps:wsp>
                    <wps:wsp>
                      <wps:cNvPr id="15" name="Rectangle 55"/>
                      <wps:cNvSpPr>
                        <a:spLocks noChangeArrowheads="1"/>
                      </wps:cNvSpPr>
                      <wps:spPr bwMode="auto">
                        <a:xfrm>
                          <a:off x="0" y="16114"/>
                          <a:ext cx="20000" cy="699"/>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706F7" w:rsidRDefault="00F706F7">
                            <w:pPr>
                              <w:rPr>
                                <w:rtl/>
                              </w:rPr>
                            </w:pPr>
                            <w:r>
                              <w:rPr>
                                <w:szCs w:val="28"/>
                                <w:rtl/>
                              </w:rPr>
                              <w:t>ו</w:t>
                            </w:r>
                          </w:p>
                        </w:txbxContent>
                      </wps:txbx>
                      <wps:bodyPr rot="0" vert="horz" wrap="square" lIns="12700" tIns="12700" rIns="12700" bIns="12700" anchor="t" anchorCtr="0" upright="1">
                        <a:noAutofit/>
                      </wps:bodyPr>
                    </wps:wsp>
                    <wps:wsp>
                      <wps:cNvPr id="16" name="Rectangle 56"/>
                      <wps:cNvSpPr>
                        <a:spLocks noChangeArrowheads="1"/>
                      </wps:cNvSpPr>
                      <wps:spPr bwMode="auto">
                        <a:xfrm>
                          <a:off x="0" y="19308"/>
                          <a:ext cx="20000" cy="699"/>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706F7" w:rsidRDefault="00F706F7">
                            <w:pPr>
                              <w:rPr>
                                <w:rtl/>
                              </w:rPr>
                            </w:pPr>
                            <w:r>
                              <w:rPr>
                                <w:szCs w:val="28"/>
                                <w:rtl/>
                              </w:rPr>
                              <w:t>ז</w:t>
                            </w:r>
                          </w:p>
                        </w:txbxContent>
                      </wps:txbx>
                      <wps:bodyPr rot="0" vert="horz" wrap="square" lIns="12700" tIns="12700" rIns="12700" bIns="1270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49" o:spid="_x0000_s1050" style="position:absolute;left:0;text-align:left;margin-left:-36.85pt;margin-top:25.5pt;width:13.5pt;height:412.2pt;z-index:251658752;mso-position-vertical-relative:margin" coordsize="20000,200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" o:allowincell="f">
              <v:rect id="Rectangle 50" o:spid="_x0000_s1051" style="position:absolute;width:20000;height:6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" filled="f" stroked="f" strokeweight=".25pt">
                <v:textbox inset="1pt,1pt,1pt,1pt">
                  <w:txbxContent>
                    <w:p w:rsidR="00F706F7" w:rsidRDefault="00F706F7">
                      <w:pPr>
                        <w:rPr>
                          <w:rtl/>
                        </w:rPr>
                      </w:pPr>
                      <w:r>
                        <w:rPr>
                          <w:szCs w:val="28"/>
                          <w:rtl/>
                        </w:rPr>
                        <w:t>א</w:t>
                      </w:r>
                    </w:p>
                  </w:txbxContent>
                </v:textbox>
              </v:rect>
              <v:rect id="Rectangle 51" o:spid="_x0000_s1052" style="position:absolute;top:3264;width:20000;height:6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" filled="f" stroked="f">
                <v:textbox inset="1pt,1pt,1pt,1pt">
                  <w:txbxContent>
                    <w:p w:rsidR="00F706F7" w:rsidRDefault="00F706F7">
                      <w:pPr>
                        <w:rPr>
                          <w:rtl/>
                        </w:rPr>
                      </w:pPr>
                      <w:r>
                        <w:rPr>
                          <w:szCs w:val="28"/>
                          <w:rtl/>
                        </w:rPr>
                        <w:t>ב</w:t>
                      </w:r>
                    </w:p>
                  </w:txbxContent>
                </v:textbox>
              </v:rect>
              <v:rect id="Rectangle 52" o:spid="_x0000_s1053" style="position:absolute;top:6460;width:20000;height:6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" filled="f" stroked="f">
                <v:textbox inset="1pt,1pt,1pt,1pt">
                  <w:txbxContent>
                    <w:p w:rsidR="00F706F7" w:rsidRDefault="00F706F7">
                      <w:pPr>
                        <w:rPr>
                          <w:rtl/>
                        </w:rPr>
                      </w:pPr>
                      <w:r>
                        <w:rPr>
                          <w:szCs w:val="28"/>
                          <w:rtl/>
                        </w:rPr>
                        <w:t>ג</w:t>
                      </w:r>
                    </w:p>
                  </w:txbxContent>
                </v:textbox>
              </v:rect>
              <v:rect id="Rectangle 53" o:spid="_x0000_s1054" style="position:absolute;top:9656;width:20000;height:6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" filled="f" stroked="f">
                <v:textbox inset="1pt,1pt,1pt,1pt">
                  <w:txbxContent>
                    <w:p w:rsidR="00F706F7" w:rsidRDefault="00F706F7">
                      <w:pPr>
                        <w:rPr>
                          <w:rtl/>
                        </w:rPr>
                      </w:pPr>
                      <w:r>
                        <w:rPr>
                          <w:szCs w:val="28"/>
                          <w:rtl/>
                        </w:rPr>
                        <w:t>ד</w:t>
                      </w:r>
                    </w:p>
                  </w:txbxContent>
                </v:textbox>
              </v:rect>
              <v:rect id="Rectangle 54" o:spid="_x0000_s1055" style="position:absolute;top:12850;width:20000;height:6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" filled="f" stroked="f">
                <v:textbox inset="1pt,1pt,1pt,1pt">
                  <w:txbxContent>
                    <w:p w:rsidR="00F706F7" w:rsidRDefault="00F706F7">
                      <w:pPr>
                        <w:rPr>
                          <w:rtl/>
                        </w:rPr>
                      </w:pPr>
                      <w:r>
                        <w:rPr>
                          <w:szCs w:val="28"/>
                          <w:rtl/>
                        </w:rPr>
                        <w:t>ה</w:t>
                      </w:r>
                    </w:p>
                  </w:txbxContent>
                </v:textbox>
              </v:rect>
              <v:rect id="Rectangle 55" o:spid="_x0000_s1056" style="position:absolute;top:16114;width:20000;height:6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" filled="f" stroked="f">
                <v:textbox inset="1pt,1pt,1pt,1pt">
                  <w:txbxContent>
                    <w:p w:rsidR="00F706F7" w:rsidRDefault="00F706F7">
                      <w:pPr>
                        <w:rPr>
                          <w:rtl/>
                        </w:rPr>
                      </w:pPr>
                      <w:r>
                        <w:rPr>
                          <w:szCs w:val="28"/>
                          <w:rtl/>
                        </w:rPr>
                        <w:t>ו</w:t>
                      </w:r>
                    </w:p>
                  </w:txbxContent>
                </v:textbox>
              </v:rect>
              <v:rect id="Rectangle 56" o:spid="_x0000_s1057" style="position:absolute;top:19308;width:20000;height:6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" filled="f" stroked="f">
                <v:textbox inset="1pt,1pt,1pt,1pt">
                  <w:txbxContent>
                    <w:p w:rsidR="00F706F7" w:rsidRDefault="00F706F7">
                      <w:pPr>
                        <w:rPr>
                          <w:rtl/>
                        </w:rPr>
                      </w:pPr>
                      <w:r>
                        <w:rPr>
                          <w:szCs w:val="28"/>
                          <w:rtl/>
                        </w:rPr>
                        <w:t>ז</w:t>
                      </w:r>
                    </w:p>
                  </w:txbxContent>
                </v:textbox>
              </v:rect>
              <w10:wrap anchory="margin"/>
            </v:group>
          </w:pict>
        </mc:Fallback>
      </mc:AlternateContent>
    </w:r>
    <w:r w:rsidR="00F706F7">
      <w:rPr>
        <w:rFonts w:cs="FrankRuehl"/>
        <w:szCs w:val="22"/>
        <w:rtl/>
      </w:rPr>
      <w:t>פ"ד נ</w:t>
    </w:r>
    <w:r w:rsidR="00F706F7">
      <w:rPr>
        <w:rFonts w:cs="FrankRuehl" w:hint="cs"/>
        <w:szCs w:val="22"/>
        <w:rtl/>
      </w:rPr>
      <w:t>ח</w:t>
    </w:r>
    <w:r w:rsidR="00F706F7">
      <w:rPr>
        <w:rFonts w:cs="FrankRuehl"/>
        <w:szCs w:val="22"/>
        <w:rtl/>
      </w:rPr>
      <w:t>(</w:t>
    </w:r>
    <w:r w:rsidR="00F706F7">
      <w:rPr>
        <w:rFonts w:cs="FrankRuehl" w:hint="cs"/>
        <w:szCs w:val="22"/>
        <w:rtl/>
      </w:rPr>
      <w:t>1</w:t>
    </w:r>
    <w:r w:rsidR="00F706F7">
      <w:rPr>
        <w:rFonts w:cs="FrankRuehl"/>
        <w:szCs w:val="22"/>
        <w:rtl/>
      </w:rPr>
      <w:t xml:space="preserve">) </w:t>
    </w:r>
    <w:r w:rsidR="00F706F7">
      <w:rPr>
        <w:rFonts w:cs="FrankRuehl" w:hint="cs"/>
        <w:sz w:val="22"/>
        <w:szCs w:val="22"/>
        <w:rtl/>
      </w:rPr>
      <w:t>721</w:t>
    </w:r>
    <w:r w:rsidR="00F706F7">
      <w:rPr>
        <w:rtl/>
      </w:rPr>
      <w:tab/>
    </w:r>
    <w:r w:rsidR="00F706F7">
      <w:rPr>
        <w:rFonts w:hint="cs"/>
        <w:rtl/>
      </w:rPr>
      <w:t>השופטת מ' נאור</w: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06F7" w:rsidRDefault="00F706F7">
    <w:pPr>
      <w:pStyle w:val="Header"/>
      <w:pBdr>
        <w:bottom w:val="single" w:sz="6" w:space="1" w:color="auto"/>
      </w:pBdr>
      <w:tabs>
        <w:tab w:val="clear" w:pos="4153"/>
        <w:tab w:val="clear" w:pos="8306"/>
        <w:tab w:val="right" w:pos="6521"/>
        <w:tab w:val="center" w:pos="9498"/>
      </w:tabs>
      <w:rPr>
        <w:rFonts w:hint="cs"/>
        <w:rtl/>
      </w:rPr>
    </w:pPr>
    <w:r>
      <w:rPr>
        <w:rFonts w:hint="cs"/>
        <w:rtl/>
      </w:rPr>
      <w:t>ע"פ</w:t>
    </w:r>
    <w:r>
      <w:rPr>
        <w:rtl/>
      </w:rPr>
      <w:t xml:space="preserve"> </w:t>
    </w:r>
    <w:r>
      <w:rPr>
        <w:rFonts w:hint="cs"/>
        <w:rtl/>
      </w:rPr>
      <w:t>1042/03</w:t>
    </w:r>
    <w:r>
      <w:rPr>
        <w:rtl/>
      </w:rPr>
      <w:tab/>
    </w:r>
    <w:r>
      <w:rPr>
        <w:rFonts w:hint="cs"/>
        <w:rtl/>
      </w:rPr>
      <w:t>מצרפלס שותפות מוגבלת בע"מ (1974) נ' מדינת ישראל</w:t>
    </w:r>
  </w:p>
  <w:p w:rsidR="00F706F7" w:rsidRDefault="00564E42">
    <w:pPr>
      <w:pStyle w:val="2"/>
      <w:jc w:val="left"/>
      <w:rPr>
        <w:rFonts w:hint="cs"/>
        <w:rtl/>
      </w:rPr>
    </w:pPr>
    <w:r>
      <w:rPr>
        <w:rFonts w:cs="FrankRuehl"/>
        <w:noProof/>
        <w:szCs w:val="22"/>
        <w:rtl/>
        <w:lang w:eastAsia="en-US"/>
      </w:rPr>
      <mc:AlternateContent>
        <mc:Choice Requires="wpg">
          <w:drawing>
            <wp:anchor distT="0" distB="0" distL="114300" distR="114300" simplePos="0" relativeHeight="251659776" behindDoc="0" locked="0" layoutInCell="0" allowOverlap="1">
              <wp:simplePos x="0" y="0"/>
              <wp:positionH relativeFrom="column">
                <wp:posOffset>4428490</wp:posOffset>
              </wp:positionH>
              <wp:positionV relativeFrom="margin">
                <wp:posOffset>323850</wp:posOffset>
              </wp:positionV>
              <wp:extent cx="171450" cy="5234940"/>
              <wp:effectExtent l="0" t="0" r="0" b="0"/>
              <wp:wrapNone/>
              <wp:docPr id="1" name="Group 5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1450" cy="5234940"/>
                        <a:chOff x="0" y="0"/>
                        <a:chExt cx="20000" cy="20007"/>
                      </a:xfrm>
                    </wpg:grpSpPr>
                    <wps:wsp>
                      <wps:cNvPr id="2" name="Rectangle 58"/>
                      <wps:cNvSpPr>
                        <a:spLocks noChangeArrowheads="1"/>
                      </wps:cNvSpPr>
                      <wps:spPr bwMode="auto">
                        <a:xfrm>
                          <a:off x="0" y="0"/>
                          <a:ext cx="20000" cy="699"/>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706F7" w:rsidRDefault="00F706F7">
                            <w:pPr>
                              <w:rPr>
                                <w:rtl/>
                              </w:rPr>
                            </w:pPr>
                            <w:r>
                              <w:rPr>
                                <w:szCs w:val="28"/>
                                <w:rtl/>
                              </w:rPr>
                              <w:t>א</w:t>
                            </w:r>
                          </w:p>
                        </w:txbxContent>
                      </wps:txbx>
                      <wps:bodyPr rot="0" vert="horz" wrap="square" lIns="12700" tIns="12700" rIns="12700" bIns="12700" anchor="t" anchorCtr="0" upright="1">
                        <a:noAutofit/>
                      </wps:bodyPr>
                    </wps:wsp>
                    <wps:wsp>
                      <wps:cNvPr id="3" name="Rectangle 59"/>
                      <wps:cNvSpPr>
                        <a:spLocks noChangeArrowheads="1"/>
                      </wps:cNvSpPr>
                      <wps:spPr bwMode="auto">
                        <a:xfrm>
                          <a:off x="0" y="3264"/>
                          <a:ext cx="20000" cy="699"/>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706F7" w:rsidRDefault="00F706F7">
                            <w:pPr>
                              <w:rPr>
                                <w:rtl/>
                              </w:rPr>
                            </w:pPr>
                            <w:r>
                              <w:rPr>
                                <w:szCs w:val="28"/>
                                <w:rtl/>
                              </w:rPr>
                              <w:t>ב</w:t>
                            </w:r>
                          </w:p>
                        </w:txbxContent>
                      </wps:txbx>
                      <wps:bodyPr rot="0" vert="horz" wrap="square" lIns="12700" tIns="12700" rIns="12700" bIns="12700" anchor="t" anchorCtr="0" upright="1">
                        <a:noAutofit/>
                      </wps:bodyPr>
                    </wps:wsp>
                    <wps:wsp>
                      <wps:cNvPr id="4" name="Rectangle 60"/>
                      <wps:cNvSpPr>
                        <a:spLocks noChangeArrowheads="1"/>
                      </wps:cNvSpPr>
                      <wps:spPr bwMode="auto">
                        <a:xfrm>
                          <a:off x="0" y="6460"/>
                          <a:ext cx="20000" cy="699"/>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706F7" w:rsidRDefault="00F706F7">
                            <w:pPr>
                              <w:rPr>
                                <w:rtl/>
                              </w:rPr>
                            </w:pPr>
                            <w:r>
                              <w:rPr>
                                <w:szCs w:val="28"/>
                                <w:rtl/>
                              </w:rPr>
                              <w:t>ג</w:t>
                            </w:r>
                          </w:p>
                        </w:txbxContent>
                      </wps:txbx>
                      <wps:bodyPr rot="0" vert="horz" wrap="square" lIns="12700" tIns="12700" rIns="12700" bIns="12700" anchor="t" anchorCtr="0" upright="1">
                        <a:noAutofit/>
                      </wps:bodyPr>
                    </wps:wsp>
                    <wps:wsp>
                      <wps:cNvPr id="5" name="Rectangle 61"/>
                      <wps:cNvSpPr>
                        <a:spLocks noChangeArrowheads="1"/>
                      </wps:cNvSpPr>
                      <wps:spPr bwMode="auto">
                        <a:xfrm>
                          <a:off x="0" y="9656"/>
                          <a:ext cx="20000" cy="699"/>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706F7" w:rsidRDefault="00F706F7">
                            <w:pPr>
                              <w:rPr>
                                <w:rtl/>
                              </w:rPr>
                            </w:pPr>
                            <w:r>
                              <w:rPr>
                                <w:szCs w:val="28"/>
                                <w:rtl/>
                              </w:rPr>
                              <w:t>ד</w:t>
                            </w:r>
                          </w:p>
                        </w:txbxContent>
                      </wps:txbx>
                      <wps:bodyPr rot="0" vert="horz" wrap="square" lIns="12700" tIns="12700" rIns="12700" bIns="12700" anchor="t" anchorCtr="0" upright="1">
                        <a:noAutofit/>
                      </wps:bodyPr>
                    </wps:wsp>
                    <wps:wsp>
                      <wps:cNvPr id="6" name="Rectangle 62"/>
                      <wps:cNvSpPr>
                        <a:spLocks noChangeArrowheads="1"/>
                      </wps:cNvSpPr>
                      <wps:spPr bwMode="auto">
                        <a:xfrm>
                          <a:off x="0" y="12850"/>
                          <a:ext cx="20000" cy="699"/>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706F7" w:rsidRDefault="00F706F7">
                            <w:pPr>
                              <w:rPr>
                                <w:rtl/>
                              </w:rPr>
                            </w:pPr>
                            <w:r>
                              <w:rPr>
                                <w:szCs w:val="28"/>
                                <w:rtl/>
                              </w:rPr>
                              <w:t>ה</w:t>
                            </w:r>
                          </w:p>
                        </w:txbxContent>
                      </wps:txbx>
                      <wps:bodyPr rot="0" vert="horz" wrap="square" lIns="12700" tIns="12700" rIns="12700" bIns="12700" anchor="t" anchorCtr="0" upright="1">
                        <a:noAutofit/>
                      </wps:bodyPr>
                    </wps:wsp>
                    <wps:wsp>
                      <wps:cNvPr id="7" name="Rectangle 63"/>
                      <wps:cNvSpPr>
                        <a:spLocks noChangeArrowheads="1"/>
                      </wps:cNvSpPr>
                      <wps:spPr bwMode="auto">
                        <a:xfrm>
                          <a:off x="0" y="16114"/>
                          <a:ext cx="20000" cy="699"/>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706F7" w:rsidRDefault="00F706F7">
                            <w:pPr>
                              <w:rPr>
                                <w:rtl/>
                              </w:rPr>
                            </w:pPr>
                            <w:r>
                              <w:rPr>
                                <w:szCs w:val="28"/>
                                <w:rtl/>
                              </w:rPr>
                              <w:t>ו</w:t>
                            </w:r>
                          </w:p>
                        </w:txbxContent>
                      </wps:txbx>
                      <wps:bodyPr rot="0" vert="horz" wrap="square" lIns="12700" tIns="12700" rIns="12700" bIns="12700" anchor="t" anchorCtr="0" upright="1">
                        <a:noAutofit/>
                      </wps:bodyPr>
                    </wps:wsp>
                    <wps:wsp>
                      <wps:cNvPr id="8" name="Rectangle 64"/>
                      <wps:cNvSpPr>
                        <a:spLocks noChangeArrowheads="1"/>
                      </wps:cNvSpPr>
                      <wps:spPr bwMode="auto">
                        <a:xfrm>
                          <a:off x="0" y="19308"/>
                          <a:ext cx="20000" cy="699"/>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706F7" w:rsidRDefault="00F706F7">
                            <w:pPr>
                              <w:rPr>
                                <w:rtl/>
                              </w:rPr>
                            </w:pPr>
                            <w:r>
                              <w:rPr>
                                <w:szCs w:val="28"/>
                                <w:rtl/>
                              </w:rPr>
                              <w:t>ז</w:t>
                            </w:r>
                          </w:p>
                        </w:txbxContent>
                      </wps:txbx>
                      <wps:bodyPr rot="0" vert="horz" wrap="square" lIns="12700" tIns="12700" rIns="12700" bIns="1270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57" o:spid="_x0000_s1058" style="position:absolute;left:0;text-align:left;margin-left:348.7pt;margin-top:25.5pt;width:13.5pt;height:412.2pt;z-index:251659776;mso-position-vertical-relative:margin" coordsize="20000,200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" o:allowincell="f">
              <v:rect id="Rectangle 58" o:spid="_x0000_s1059" style="position:absolute;width:20000;height:6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" filled="f" stroked="f" strokeweight=".25pt">
                <v:textbox inset="1pt,1pt,1pt,1pt">
                  <w:txbxContent>
                    <w:p w:rsidR="00F706F7" w:rsidRDefault="00F706F7">
                      <w:pPr>
                        <w:rPr>
                          <w:rtl/>
                        </w:rPr>
                      </w:pPr>
                      <w:r>
                        <w:rPr>
                          <w:szCs w:val="28"/>
                          <w:rtl/>
                        </w:rPr>
                        <w:t>א</w:t>
                      </w:r>
                    </w:p>
                  </w:txbxContent>
                </v:textbox>
              </v:rect>
              <v:rect id="Rectangle 59" o:spid="_x0000_s1060" style="position:absolute;top:3264;width:20000;height:6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" filled="f" stroked="f">
                <v:textbox inset="1pt,1pt,1pt,1pt">
                  <w:txbxContent>
                    <w:p w:rsidR="00F706F7" w:rsidRDefault="00F706F7">
                      <w:pPr>
                        <w:rPr>
                          <w:rtl/>
                        </w:rPr>
                      </w:pPr>
                      <w:r>
                        <w:rPr>
                          <w:szCs w:val="28"/>
                          <w:rtl/>
                        </w:rPr>
                        <w:t>ב</w:t>
                      </w:r>
                    </w:p>
                  </w:txbxContent>
                </v:textbox>
              </v:rect>
              <v:rect id="Rectangle 60" o:spid="_x0000_s1061" style="position:absolute;top:6460;width:20000;height:6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" filled="f" stroked="f">
                <v:textbox inset="1pt,1pt,1pt,1pt">
                  <w:txbxContent>
                    <w:p w:rsidR="00F706F7" w:rsidRDefault="00F706F7">
                      <w:pPr>
                        <w:rPr>
                          <w:rtl/>
                        </w:rPr>
                      </w:pPr>
                      <w:r>
                        <w:rPr>
                          <w:szCs w:val="28"/>
                          <w:rtl/>
                        </w:rPr>
                        <w:t>ג</w:t>
                      </w:r>
                    </w:p>
                  </w:txbxContent>
                </v:textbox>
              </v:rect>
              <v:rect id="Rectangle 61" o:spid="_x0000_s1062" style="position:absolute;top:9656;width:20000;height:6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" filled="f" stroked="f">
                <v:textbox inset="1pt,1pt,1pt,1pt">
                  <w:txbxContent>
                    <w:p w:rsidR="00F706F7" w:rsidRDefault="00F706F7">
                      <w:pPr>
                        <w:rPr>
                          <w:rtl/>
                        </w:rPr>
                      </w:pPr>
                      <w:r>
                        <w:rPr>
                          <w:szCs w:val="28"/>
                          <w:rtl/>
                        </w:rPr>
                        <w:t>ד</w:t>
                      </w:r>
                    </w:p>
                  </w:txbxContent>
                </v:textbox>
              </v:rect>
              <v:rect id="Rectangle 62" o:spid="_x0000_s1063" style="position:absolute;top:12850;width:20000;height:6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" filled="f" stroked="f">
                <v:textbox inset="1pt,1pt,1pt,1pt">
                  <w:txbxContent>
                    <w:p w:rsidR="00F706F7" w:rsidRDefault="00F706F7">
                      <w:pPr>
                        <w:rPr>
                          <w:rtl/>
                        </w:rPr>
                      </w:pPr>
                      <w:r>
                        <w:rPr>
                          <w:szCs w:val="28"/>
                          <w:rtl/>
                        </w:rPr>
                        <w:t>ה</w:t>
                      </w:r>
                    </w:p>
                  </w:txbxContent>
                </v:textbox>
              </v:rect>
              <v:rect id="Rectangle 63" o:spid="_x0000_s1064" style="position:absolute;top:16114;width:20000;height:6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" filled="f" stroked="f">
                <v:textbox inset="1pt,1pt,1pt,1pt">
                  <w:txbxContent>
                    <w:p w:rsidR="00F706F7" w:rsidRDefault="00F706F7">
                      <w:pPr>
                        <w:rPr>
                          <w:rtl/>
                        </w:rPr>
                      </w:pPr>
                      <w:r>
                        <w:rPr>
                          <w:szCs w:val="28"/>
                          <w:rtl/>
                        </w:rPr>
                        <w:t>ו</w:t>
                      </w:r>
                    </w:p>
                  </w:txbxContent>
                </v:textbox>
              </v:rect>
              <v:rect id="Rectangle 64" o:spid="_x0000_s1065" style="position:absolute;top:19308;width:20000;height:6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" filled="f" stroked="f">
                <v:textbox inset="1pt,1pt,1pt,1pt">
                  <w:txbxContent>
                    <w:p w:rsidR="00F706F7" w:rsidRDefault="00F706F7">
                      <w:pPr>
                        <w:rPr>
                          <w:rtl/>
                        </w:rPr>
                      </w:pPr>
                      <w:r>
                        <w:rPr>
                          <w:szCs w:val="28"/>
                          <w:rtl/>
                        </w:rPr>
                        <w:t>ז</w:t>
                      </w:r>
                    </w:p>
                  </w:txbxContent>
                </v:textbox>
              </v:rect>
              <w10:wrap anchory="margin"/>
            </v:group>
          </w:pict>
        </mc:Fallback>
      </mc:AlternateContent>
    </w:r>
    <w:r w:rsidR="00F706F7">
      <w:rPr>
        <w:rFonts w:cs="FrankRuehl"/>
        <w:szCs w:val="22"/>
        <w:rtl/>
      </w:rPr>
      <w:t>פ"ד נ</w:t>
    </w:r>
    <w:r w:rsidR="00F706F7">
      <w:rPr>
        <w:rFonts w:cs="FrankRuehl" w:hint="cs"/>
        <w:szCs w:val="22"/>
        <w:rtl/>
      </w:rPr>
      <w:t>ח</w:t>
    </w:r>
    <w:r w:rsidR="00F706F7">
      <w:rPr>
        <w:rFonts w:cs="FrankRuehl"/>
        <w:szCs w:val="22"/>
        <w:rtl/>
      </w:rPr>
      <w:t>(</w:t>
    </w:r>
    <w:r w:rsidR="00F706F7">
      <w:rPr>
        <w:rFonts w:cs="FrankRuehl" w:hint="cs"/>
        <w:szCs w:val="22"/>
        <w:rtl/>
      </w:rPr>
      <w:t>1</w:t>
    </w:r>
    <w:r w:rsidR="00F706F7">
      <w:rPr>
        <w:rFonts w:cs="FrankRuehl"/>
        <w:szCs w:val="22"/>
        <w:rtl/>
      </w:rPr>
      <w:t xml:space="preserve">) </w:t>
    </w:r>
    <w:r w:rsidR="00F706F7">
      <w:rPr>
        <w:rFonts w:cs="FrankRuehl" w:hint="cs"/>
        <w:sz w:val="22"/>
        <w:szCs w:val="22"/>
        <w:rtl/>
      </w:rPr>
      <w:t>721</w:t>
    </w:r>
    <w:r w:rsidR="00F706F7">
      <w:rPr>
        <w:rtl/>
      </w:rPr>
      <w:tab/>
    </w:r>
    <w:r w:rsidR="00F706F7">
      <w:rPr>
        <w:rFonts w:hint="cs"/>
        <w:rtl/>
      </w:rPr>
      <w:t>השופטת מ' נאור</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drawingGridHorizontalSpacing w:val="100"/>
  <w:drawingGridVerticalSpacing w:val="136"/>
  <w:displayHorizontalDrawingGridEvery w:val="0"/>
  <w:displayVerticalDrawingGridEvery w:val="0"/>
  <w:noPunctuationKerning/>
  <w:characterSpacingControl w:val="doNotCompress"/>
  <w:hdrShapeDefaults>
    <o:shapedefaults v:ext="edit" spidmax="3074"/>
  </w:hdrShapeDefaults>
  <w:footnoteP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2D59"/>
    <w:rsid w:val="002F4B88"/>
    <w:rsid w:val="003C2D6E"/>
    <w:rsid w:val="004F35DC"/>
    <w:rsid w:val="00564E42"/>
    <w:rsid w:val="005673AB"/>
    <w:rsid w:val="00621451"/>
    <w:rsid w:val="00730477"/>
    <w:rsid w:val="00A154E5"/>
    <w:rsid w:val="00D261CD"/>
    <w:rsid w:val="00F706F7"/>
    <w:rsid w:val="00F82D59"/>
    <w:rsid w:val="00FC41C2"/>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3074"/>
    <o:shapelayout v:ext="edit">
      <o:idmap v:ext="edit" data="1"/>
    </o:shapelayout>
  </w:shapeDefaults>
  <w:decimalSymbol w:val="."/>
  <w:listSeparator w:val=","/>
  <w15:chartTrackingRefBased/>
  <w15:docId w15:val="{368AF06F-6BCE-448A-8C7F-62F7A26AD9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Miriam"/>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bidi/>
    </w:pPr>
    <w:rPr>
      <w:noProof/>
      <w:lang w:eastAsia="he-IL"/>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Header">
    <w:name w:val="header"/>
    <w:basedOn w:val="Normal"/>
    <w:pPr>
      <w:tabs>
        <w:tab w:val="center" w:pos="4153"/>
        <w:tab w:val="right" w:pos="8306"/>
      </w:tabs>
      <w:overflowPunct w:val="0"/>
      <w:autoSpaceDE w:val="0"/>
      <w:autoSpaceDN w:val="0"/>
      <w:adjustRightInd w:val="0"/>
      <w:textAlignment w:val="baseline"/>
    </w:pPr>
    <w:rPr>
      <w:rFonts w:cs="FrankRuehl"/>
      <w:noProof w:val="0"/>
      <w:szCs w:val="24"/>
    </w:rPr>
  </w:style>
  <w:style w:type="paragraph" w:styleId="Footer">
    <w:name w:val="footer"/>
    <w:basedOn w:val="Normal"/>
    <w:pPr>
      <w:tabs>
        <w:tab w:val="center" w:pos="4153"/>
        <w:tab w:val="right" w:pos="8306"/>
      </w:tabs>
      <w:overflowPunct w:val="0"/>
      <w:autoSpaceDE w:val="0"/>
      <w:autoSpaceDN w:val="0"/>
      <w:adjustRightInd w:val="0"/>
      <w:textAlignment w:val="baseline"/>
    </w:pPr>
    <w:rPr>
      <w:rFonts w:cs="FrankRuehl"/>
      <w:noProof w:val="0"/>
      <w:szCs w:val="24"/>
    </w:rPr>
  </w:style>
  <w:style w:type="character" w:styleId="PageNumber">
    <w:name w:val="page number"/>
    <w:basedOn w:val="DefaultParagraphFont"/>
  </w:style>
  <w:style w:type="paragraph" w:customStyle="1" w:styleId="2">
    <w:name w:val="כותרת_רצה_עליונה2"/>
    <w:basedOn w:val="Header"/>
    <w:pPr>
      <w:tabs>
        <w:tab w:val="clear" w:pos="4153"/>
        <w:tab w:val="clear" w:pos="8306"/>
        <w:tab w:val="right" w:pos="6521"/>
        <w:tab w:val="center" w:pos="9498"/>
      </w:tabs>
      <w:spacing w:before="40"/>
      <w:jc w:val="right"/>
    </w:pPr>
    <w:rPr>
      <w:rFonts w:cs="Miriam"/>
      <w:szCs w:val="20"/>
    </w:rPr>
  </w:style>
  <w:style w:type="paragraph" w:customStyle="1" w:styleId="a">
    <w:name w:val="כללי"/>
    <w:basedOn w:val="Normal"/>
    <w:pPr>
      <w:overflowPunct w:val="0"/>
      <w:autoSpaceDE w:val="0"/>
      <w:autoSpaceDN w:val="0"/>
      <w:adjustRightInd w:val="0"/>
      <w:spacing w:after="240" w:line="280" w:lineRule="exact"/>
      <w:ind w:firstLine="284"/>
      <w:jc w:val="both"/>
      <w:textAlignment w:val="baseline"/>
    </w:pPr>
    <w:rPr>
      <w:rFonts w:cs="FrankRuehl"/>
      <w:noProof w:val="0"/>
      <w:szCs w:val="24"/>
    </w:rPr>
  </w:style>
  <w:style w:type="paragraph" w:customStyle="1" w:styleId="-1">
    <w:name w:val="נגד-1"/>
    <w:basedOn w:val="a"/>
    <w:pPr>
      <w:spacing w:after="100" w:line="240" w:lineRule="exact"/>
      <w:ind w:firstLine="0"/>
    </w:pPr>
    <w:rPr>
      <w:sz w:val="22"/>
      <w:szCs w:val="28"/>
    </w:rPr>
  </w:style>
  <w:style w:type="paragraph" w:customStyle="1" w:styleId="-10">
    <w:name w:val="כותרת-1"/>
    <w:basedOn w:val="a"/>
    <w:pPr>
      <w:spacing w:after="120"/>
      <w:ind w:firstLine="0"/>
      <w:jc w:val="center"/>
    </w:pPr>
  </w:style>
  <w:style w:type="paragraph" w:customStyle="1" w:styleId="-">
    <w:name w:val="פסק-דין"/>
    <w:basedOn w:val="a"/>
    <w:pPr>
      <w:spacing w:after="0"/>
      <w:jc w:val="center"/>
    </w:pPr>
    <w:rPr>
      <w:rFonts w:ascii="Arial" w:hAnsi="Arial"/>
      <w:b/>
      <w:szCs w:val="28"/>
      <w:u w:val="single"/>
    </w:rPr>
  </w:style>
  <w:style w:type="paragraph" w:customStyle="1" w:styleId="1">
    <w:name w:val="כניסה1"/>
    <w:basedOn w:val="Normal"/>
    <w:pPr>
      <w:tabs>
        <w:tab w:val="left" w:pos="340"/>
        <w:tab w:val="left" w:pos="680"/>
      </w:tabs>
      <w:overflowPunct w:val="0"/>
      <w:autoSpaceDE w:val="0"/>
      <w:autoSpaceDN w:val="0"/>
      <w:adjustRightInd w:val="0"/>
      <w:spacing w:line="250" w:lineRule="exact"/>
      <w:ind w:left="680" w:hanging="680"/>
      <w:jc w:val="both"/>
      <w:textAlignment w:val="baseline"/>
    </w:pPr>
    <w:rPr>
      <w:rFonts w:cs="FrankRuehl"/>
      <w:noProof w:val="0"/>
      <w:sz w:val="18"/>
      <w:szCs w:val="22"/>
    </w:rPr>
  </w:style>
  <w:style w:type="paragraph" w:customStyle="1" w:styleId="a0">
    <w:name w:val="תקציר"/>
    <w:basedOn w:val="1"/>
    <w:pPr>
      <w:ind w:left="0" w:firstLine="284"/>
    </w:pPr>
  </w:style>
  <w:style w:type="paragraph" w:customStyle="1" w:styleId="a1">
    <w:name w:val="אזכורים"/>
    <w:basedOn w:val="a"/>
    <w:pPr>
      <w:tabs>
        <w:tab w:val="left" w:pos="567"/>
      </w:tabs>
      <w:spacing w:after="40" w:line="270" w:lineRule="exact"/>
      <w:ind w:left="567" w:hanging="567"/>
    </w:pPr>
  </w:style>
  <w:style w:type="paragraph" w:customStyle="1" w:styleId="a2">
    <w:name w:val="שםשופט"/>
    <w:basedOn w:val="a"/>
    <w:rPr>
      <w:rFonts w:ascii="Arial" w:hAnsi="Arial" w:cs="Miriam"/>
    </w:rPr>
  </w:style>
  <w:style w:type="paragraph" w:customStyle="1" w:styleId="a3">
    <w:name w:val="מספר הליך"/>
    <w:basedOn w:val="a"/>
    <w:pPr>
      <w:jc w:val="right"/>
    </w:pPr>
    <w:rPr>
      <w:szCs w:val="28"/>
    </w:rPr>
  </w:style>
  <w:style w:type="paragraph" w:customStyle="1" w:styleId="a4">
    <w:name w:val="ציטוט"/>
    <w:basedOn w:val="a"/>
    <w:qFormat/>
    <w:pPr>
      <w:ind w:left="454" w:right="454" w:firstLine="0"/>
    </w:pPr>
  </w:style>
  <w:style w:type="paragraph" w:customStyle="1" w:styleId="ENG">
    <w:name w:val="ציטוטENG"/>
    <w:basedOn w:val="a"/>
    <w:pPr>
      <w:bidi w:val="0"/>
      <w:ind w:left="454" w:right="454" w:firstLine="0"/>
    </w:pPr>
  </w:style>
  <w:style w:type="paragraph" w:customStyle="1" w:styleId="4">
    <w:name w:val="סרגל4"/>
    <w:basedOn w:val="Normal"/>
    <w:pPr>
      <w:tabs>
        <w:tab w:val="left" w:pos="800"/>
      </w:tabs>
      <w:overflowPunct w:val="0"/>
      <w:autoSpaceDE w:val="0"/>
      <w:autoSpaceDN w:val="0"/>
      <w:adjustRightInd w:val="0"/>
      <w:spacing w:line="480" w:lineRule="auto"/>
      <w:jc w:val="both"/>
      <w:textAlignment w:val="baseline"/>
    </w:pPr>
    <w:rPr>
      <w:rFonts w:ascii="Arial TUR" w:hAnsi="Arial TUR" w:cs="Times New Roman"/>
      <w:noProof w:val="0"/>
      <w:sz w:val="22"/>
    </w:rPr>
  </w:style>
  <w:style w:type="paragraph" w:customStyle="1" w:styleId="5">
    <w:name w:val="סרגל5"/>
    <w:basedOn w:val="Normal"/>
    <w:pPr>
      <w:overflowPunct w:val="0"/>
      <w:autoSpaceDE w:val="0"/>
      <w:autoSpaceDN w:val="0"/>
      <w:adjustRightInd w:val="0"/>
      <w:ind w:left="1644" w:right="1276"/>
      <w:jc w:val="both"/>
      <w:textAlignment w:val="baseline"/>
    </w:pPr>
    <w:rPr>
      <w:rFonts w:ascii="Arial TUR" w:hAnsi="Arial TUR" w:cs="Times New Roman"/>
      <w:noProof w:val="0"/>
      <w:sz w:val="22"/>
    </w:rPr>
  </w:style>
  <w:style w:type="paragraph" w:customStyle="1" w:styleId="Ruller4">
    <w:name w:val="Ruller4"/>
    <w:basedOn w:val="Normal"/>
    <w:pPr>
      <w:tabs>
        <w:tab w:val="left" w:pos="800"/>
      </w:tabs>
      <w:overflowPunct w:val="0"/>
      <w:autoSpaceDE w:val="0"/>
      <w:autoSpaceDN w:val="0"/>
      <w:adjustRightInd w:val="0"/>
      <w:spacing w:line="360" w:lineRule="auto"/>
      <w:jc w:val="both"/>
      <w:textAlignment w:val="baseline"/>
    </w:pPr>
    <w:rPr>
      <w:rFonts w:ascii="Arial TUR" w:hAnsi="Arial TUR" w:cs="FrankRuehl"/>
      <w:noProof w:val="0"/>
      <w:spacing w:val="10"/>
      <w:sz w:val="22"/>
      <w:szCs w:val="28"/>
      <w:lang w:eastAsia="en-US"/>
    </w:rPr>
  </w:style>
  <w:style w:type="paragraph" w:customStyle="1" w:styleId="Ruller5">
    <w:name w:val="Ruller5"/>
    <w:basedOn w:val="Normal"/>
    <w:pPr>
      <w:overflowPunct w:val="0"/>
      <w:autoSpaceDE w:val="0"/>
      <w:autoSpaceDN w:val="0"/>
      <w:adjustRightInd w:val="0"/>
      <w:ind w:left="1642" w:right="1282"/>
      <w:jc w:val="both"/>
      <w:textAlignment w:val="baseline"/>
    </w:pPr>
    <w:rPr>
      <w:rFonts w:ascii="Arial TUR" w:hAnsi="Arial TUR" w:cs="FrankRuehl"/>
      <w:noProof w:val="0"/>
      <w:spacing w:val="10"/>
      <w:sz w:val="22"/>
      <w:szCs w:val="28"/>
      <w:lang w:eastAsia="en-US"/>
    </w:rPr>
  </w:style>
  <w:style w:type="paragraph" w:customStyle="1" w:styleId="Ruller3">
    <w:name w:val="Ruller 3"/>
    <w:basedOn w:val="Normal"/>
    <w:pPr>
      <w:tabs>
        <w:tab w:val="left" w:pos="3210"/>
        <w:tab w:val="left" w:pos="6753"/>
      </w:tabs>
      <w:overflowPunct w:val="0"/>
      <w:autoSpaceDE w:val="0"/>
      <w:autoSpaceDN w:val="0"/>
      <w:adjustRightInd w:val="0"/>
      <w:spacing w:line="360" w:lineRule="auto"/>
      <w:textAlignment w:val="baseline"/>
    </w:pPr>
    <w:rPr>
      <w:rFonts w:cs="FrankRuehl"/>
      <w:noProof w:val="0"/>
      <w:spacing w:val="10"/>
      <w:sz w:val="22"/>
      <w:szCs w:val="28"/>
      <w:lang w:eastAsia="en-US"/>
    </w:rPr>
  </w:style>
  <w:style w:type="paragraph" w:customStyle="1" w:styleId="BodyRuller">
    <w:name w:val="Body Ruller"/>
    <w:basedOn w:val="Normal"/>
    <w:pPr>
      <w:overflowPunct w:val="0"/>
      <w:autoSpaceDE w:val="0"/>
      <w:autoSpaceDN w:val="0"/>
      <w:adjustRightInd w:val="0"/>
      <w:textAlignment w:val="baseline"/>
    </w:pPr>
    <w:rPr>
      <w:rFonts w:cs="David"/>
      <w:noProof w:val="0"/>
      <w:sz w:val="22"/>
      <w:szCs w:val="28"/>
      <w:lang w:eastAsia="en-US"/>
    </w:rPr>
  </w:style>
  <w:style w:type="paragraph" w:customStyle="1" w:styleId="BODYVERDICT">
    <w:name w:val="BODY VERDICT"/>
    <w:basedOn w:val="Normal"/>
    <w:pPr>
      <w:overflowPunct w:val="0"/>
      <w:autoSpaceDE w:val="0"/>
      <w:autoSpaceDN w:val="0"/>
      <w:adjustRightInd w:val="0"/>
      <w:textAlignment w:val="baseline"/>
    </w:pPr>
    <w:rPr>
      <w:rFonts w:cs="FrankRuehl"/>
      <w:noProof w:val="0"/>
      <w:spacing w:val="10"/>
      <w:sz w:val="22"/>
      <w:szCs w:val="28"/>
      <w:lang w:eastAsia="en-US"/>
    </w:rPr>
  </w:style>
  <w:style w:type="paragraph" w:customStyle="1" w:styleId="a5">
    <w:name w:val="סגנון מספר תיק"/>
    <w:basedOn w:val="Normal"/>
    <w:pPr>
      <w:overflowPunct w:val="0"/>
      <w:autoSpaceDE w:val="0"/>
      <w:autoSpaceDN w:val="0"/>
      <w:adjustRightInd w:val="0"/>
      <w:spacing w:line="360" w:lineRule="auto"/>
      <w:jc w:val="right"/>
      <w:textAlignment w:val="baseline"/>
    </w:pPr>
    <w:rPr>
      <w:rFonts w:cs="DavidFix"/>
      <w:bCs/>
      <w:noProof w:val="0"/>
      <w:szCs w:val="24"/>
    </w:rPr>
  </w:style>
  <w:style w:type="paragraph" w:customStyle="1" w:styleId="20">
    <w:name w:val="תוכן2"/>
    <w:basedOn w:val="Normal"/>
    <w:pPr>
      <w:tabs>
        <w:tab w:val="right" w:pos="6577"/>
      </w:tabs>
      <w:overflowPunct w:val="0"/>
      <w:autoSpaceDE w:val="0"/>
      <w:autoSpaceDN w:val="0"/>
      <w:adjustRightInd w:val="0"/>
      <w:spacing w:before="60" w:after="60" w:line="230" w:lineRule="exact"/>
      <w:ind w:left="568" w:right="170" w:hanging="284"/>
      <w:jc w:val="both"/>
      <w:textAlignment w:val="baseline"/>
    </w:pPr>
    <w:rPr>
      <w:rFonts w:cs="FrankRuehl"/>
      <w:noProof w:val="0"/>
      <w:szCs w:val="22"/>
    </w:rPr>
  </w:style>
  <w:style w:type="character" w:styleId="Hyperlink">
    <w:name w:val="Hyperlink"/>
    <w:rsid w:val="00FC41C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targetScreenSz w:val="800x600"/>
</w:webSettings>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hyperlink" Target="http://www.nevo.co.il/case/6102864" TargetMode="External"/><Relationship Id="rId26" Type="http://schemas.openxmlformats.org/officeDocument/2006/relationships/hyperlink" Target="http://www.nevo.co.il/case/5743141" TargetMode="External"/><Relationship Id="rId39" Type="http://schemas.openxmlformats.org/officeDocument/2006/relationships/hyperlink" Target="http://www.nevo.co.il/law/71600/2.b.4" TargetMode="External"/><Relationship Id="rId21" Type="http://schemas.openxmlformats.org/officeDocument/2006/relationships/hyperlink" Target="http://www.nevo.co.il/case/5810781" TargetMode="External"/><Relationship Id="rId34" Type="http://schemas.openxmlformats.org/officeDocument/2006/relationships/hyperlink" Target="http://www.nevo.co.il/law/71600/47.a.1" TargetMode="External"/><Relationship Id="rId42" Type="http://schemas.openxmlformats.org/officeDocument/2006/relationships/hyperlink" Target="http://www.nevo.co.il/law/71600/2.b.4" TargetMode="External"/><Relationship Id="rId47" Type="http://schemas.openxmlformats.org/officeDocument/2006/relationships/hyperlink" Target="http://www.nevo.co.il/law/71600/4" TargetMode="External"/><Relationship Id="rId50" Type="http://schemas.openxmlformats.org/officeDocument/2006/relationships/hyperlink" Target="http://www.nevo.co.il/law/71600/2.b.1" TargetMode="External"/><Relationship Id="rId55" Type="http://schemas.openxmlformats.org/officeDocument/2006/relationships/hyperlink" Target="http://www.nevo.co.il/law/74903" TargetMode="External"/><Relationship Id="rId63" Type="http://schemas.openxmlformats.org/officeDocument/2006/relationships/hyperlink" Target="http://www.nevo.co.il/case/5910850" TargetMode="External"/><Relationship Id="rId68" Type="http://schemas.openxmlformats.org/officeDocument/2006/relationships/hyperlink" Target="http://www.nevo.co.il/law/71600" TargetMode="External"/><Relationship Id="rId76" Type="http://schemas.openxmlformats.org/officeDocument/2006/relationships/header" Target="header5.xml"/><Relationship Id="rId7" Type="http://schemas.openxmlformats.org/officeDocument/2006/relationships/hyperlink" Target="http://www.nevo.co.il/case/5743141" TargetMode="External"/><Relationship Id="rId71" Type="http://schemas.openxmlformats.org/officeDocument/2006/relationships/hyperlink" Target="http://www.nevo.co.il/case/5854755" TargetMode="External"/><Relationship Id="rId2" Type="http://schemas.openxmlformats.org/officeDocument/2006/relationships/settings" Target="settings.xml"/><Relationship Id="rId16" Type="http://schemas.openxmlformats.org/officeDocument/2006/relationships/hyperlink" Target="http://www.nevo.co.il/law/74903" TargetMode="External"/><Relationship Id="rId29" Type="http://schemas.openxmlformats.org/officeDocument/2006/relationships/hyperlink" Target="http://www.nevo.co.il/case/5743141" TargetMode="External"/><Relationship Id="rId11" Type="http://schemas.openxmlformats.org/officeDocument/2006/relationships/footer" Target="footer1.xml"/><Relationship Id="rId24" Type="http://schemas.openxmlformats.org/officeDocument/2006/relationships/hyperlink" Target="http://www.nevo.co.il/case/704731" TargetMode="External"/><Relationship Id="rId32" Type="http://schemas.openxmlformats.org/officeDocument/2006/relationships/hyperlink" Target="http://www.nevo.co.il/law/71600/2.b.1" TargetMode="External"/><Relationship Id="rId37" Type="http://schemas.openxmlformats.org/officeDocument/2006/relationships/hyperlink" Target="http://www.nevo.co.il/law/71600/2.b.4" TargetMode="External"/><Relationship Id="rId40" Type="http://schemas.openxmlformats.org/officeDocument/2006/relationships/hyperlink" Target="http://www.nevo.co.il/law/71600/2.a" TargetMode="External"/><Relationship Id="rId45" Type="http://schemas.openxmlformats.org/officeDocument/2006/relationships/hyperlink" Target="http://www.nevo.co.il/law/71600/2.a" TargetMode="External"/><Relationship Id="rId53" Type="http://schemas.openxmlformats.org/officeDocument/2006/relationships/hyperlink" Target="http://www.nevo.co.il/law/71600/47.a.1" TargetMode="External"/><Relationship Id="rId58" Type="http://schemas.openxmlformats.org/officeDocument/2006/relationships/hyperlink" Target="http://www.nevo.co.il/law/71600" TargetMode="External"/><Relationship Id="rId66" Type="http://schemas.openxmlformats.org/officeDocument/2006/relationships/hyperlink" Target="http://www.nevo.co.il/law/74903" TargetMode="External"/><Relationship Id="rId74" Type="http://schemas.openxmlformats.org/officeDocument/2006/relationships/hyperlink" Target="http://www.nevo.co.il/law/71600" TargetMode="External"/><Relationship Id="rId5" Type="http://schemas.openxmlformats.org/officeDocument/2006/relationships/endnotes" Target="endnotes.xml"/><Relationship Id="rId15" Type="http://schemas.openxmlformats.org/officeDocument/2006/relationships/hyperlink" Target="http://www.nevo.co.il/law/71600" TargetMode="External"/><Relationship Id="rId23" Type="http://schemas.openxmlformats.org/officeDocument/2006/relationships/hyperlink" Target="http://www.nevo.co.il/case/5864416" TargetMode="External"/><Relationship Id="rId28" Type="http://schemas.openxmlformats.org/officeDocument/2006/relationships/hyperlink" Target="http://www.nevo.co.il/law/71600" TargetMode="External"/><Relationship Id="rId36" Type="http://schemas.openxmlformats.org/officeDocument/2006/relationships/hyperlink" Target="http://www.nevo.co.il/law/71600/2.b.3" TargetMode="External"/><Relationship Id="rId49" Type="http://schemas.openxmlformats.org/officeDocument/2006/relationships/hyperlink" Target="http://www.nevo.co.il/law/71600/2.a" TargetMode="External"/><Relationship Id="rId57" Type="http://schemas.openxmlformats.org/officeDocument/2006/relationships/hyperlink" Target="http://www.nevo.co.il/law/71600/2" TargetMode="External"/><Relationship Id="rId61" Type="http://schemas.openxmlformats.org/officeDocument/2006/relationships/hyperlink" Target="http://www.nevo.co.il/case/6102864" TargetMode="External"/><Relationship Id="rId10" Type="http://schemas.openxmlformats.org/officeDocument/2006/relationships/header" Target="header2.xml"/><Relationship Id="rId19" Type="http://schemas.openxmlformats.org/officeDocument/2006/relationships/hyperlink" Target="http://www.nevo.co.il/case/5910850" TargetMode="External"/><Relationship Id="rId31" Type="http://schemas.openxmlformats.org/officeDocument/2006/relationships/hyperlink" Target="http://www.nevo.co.il/law/71600/2.a" TargetMode="External"/><Relationship Id="rId44" Type="http://schemas.openxmlformats.org/officeDocument/2006/relationships/hyperlink" Target="http://www.nevo.co.il/law/71600/47.a.1" TargetMode="External"/><Relationship Id="rId52" Type="http://schemas.openxmlformats.org/officeDocument/2006/relationships/hyperlink" Target="http://www.nevo.co.il/law/71600/4" TargetMode="External"/><Relationship Id="rId60" Type="http://schemas.openxmlformats.org/officeDocument/2006/relationships/hyperlink" Target="http://www.nevo.co.il/law/71600/48" TargetMode="External"/><Relationship Id="rId65" Type="http://schemas.openxmlformats.org/officeDocument/2006/relationships/hyperlink" Target="http://www.nevo.co.il/law/74903/192a" TargetMode="External"/><Relationship Id="rId73" Type="http://schemas.openxmlformats.org/officeDocument/2006/relationships/hyperlink" Target="http://www.nevo.co.il/case/5864416" TargetMode="External"/><Relationship Id="rId78"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yperlink" Target="http://www.nevo.co.il/case/5854755" TargetMode="External"/><Relationship Id="rId27" Type="http://schemas.openxmlformats.org/officeDocument/2006/relationships/hyperlink" Target="http://www.nevo.co.il/case/5743140" TargetMode="External"/><Relationship Id="rId30" Type="http://schemas.openxmlformats.org/officeDocument/2006/relationships/hyperlink" Target="http://www.nevo.co.il/case/5743140" TargetMode="External"/><Relationship Id="rId35" Type="http://schemas.openxmlformats.org/officeDocument/2006/relationships/hyperlink" Target="http://www.nevo.co.il/law/71600/48" TargetMode="External"/><Relationship Id="rId43" Type="http://schemas.openxmlformats.org/officeDocument/2006/relationships/hyperlink" Target="http://www.nevo.co.il/law/71600/4" TargetMode="External"/><Relationship Id="rId48" Type="http://schemas.openxmlformats.org/officeDocument/2006/relationships/hyperlink" Target="http://www.nevo.co.il/law/71600/47.a.1" TargetMode="External"/><Relationship Id="rId56" Type="http://schemas.openxmlformats.org/officeDocument/2006/relationships/hyperlink" Target="http://www.nevo.co.il/case/5959419" TargetMode="External"/><Relationship Id="rId64" Type="http://schemas.openxmlformats.org/officeDocument/2006/relationships/hyperlink" Target="http://www.nevo.co.il/case/5876175" TargetMode="External"/><Relationship Id="rId69" Type="http://schemas.openxmlformats.org/officeDocument/2006/relationships/hyperlink" Target="http://www.nevo.co.il/law/71600" TargetMode="External"/><Relationship Id="rId77" Type="http://schemas.openxmlformats.org/officeDocument/2006/relationships/fontTable" Target="fontTable.xml"/><Relationship Id="rId8" Type="http://schemas.openxmlformats.org/officeDocument/2006/relationships/hyperlink" Target="http://www.nevo.co.il/law/71600" TargetMode="External"/><Relationship Id="rId51" Type="http://schemas.openxmlformats.org/officeDocument/2006/relationships/hyperlink" Target="http://www.nevo.co.il/law/71600/2.b.4" TargetMode="External"/><Relationship Id="rId72" Type="http://schemas.openxmlformats.org/officeDocument/2006/relationships/hyperlink" Target="http://www.nevo.co.il/law/71600" TargetMode="External"/><Relationship Id="rId3" Type="http://schemas.openxmlformats.org/officeDocument/2006/relationships/webSettings" Target="webSettings.xml"/><Relationship Id="rId12" Type="http://schemas.openxmlformats.org/officeDocument/2006/relationships/footer" Target="footer2.xml"/><Relationship Id="rId17" Type="http://schemas.openxmlformats.org/officeDocument/2006/relationships/hyperlink" Target="http://www.nevo.co.il/case/5959419" TargetMode="External"/><Relationship Id="rId25" Type="http://schemas.openxmlformats.org/officeDocument/2006/relationships/hyperlink" Target="http://www.nevo.co.il/case/5743140" TargetMode="External"/><Relationship Id="rId33" Type="http://schemas.openxmlformats.org/officeDocument/2006/relationships/hyperlink" Target="http://www.nevo.co.il/law/71600/4" TargetMode="External"/><Relationship Id="rId38" Type="http://schemas.openxmlformats.org/officeDocument/2006/relationships/hyperlink" Target="http://www.nevo.co.il/law/71600/2.b.3" TargetMode="External"/><Relationship Id="rId46" Type="http://schemas.openxmlformats.org/officeDocument/2006/relationships/hyperlink" Target="http://www.nevo.co.il/law/71600/2.b.1" TargetMode="External"/><Relationship Id="rId59" Type="http://schemas.openxmlformats.org/officeDocument/2006/relationships/hyperlink" Target="http://www.nevo.co.il/law/71600/47.a.1" TargetMode="External"/><Relationship Id="rId67" Type="http://schemas.openxmlformats.org/officeDocument/2006/relationships/hyperlink" Target="http://www.nevo.co.il/case/5810781" TargetMode="External"/><Relationship Id="rId20" Type="http://schemas.openxmlformats.org/officeDocument/2006/relationships/hyperlink" Target="http://www.nevo.co.il/case/5876175" TargetMode="External"/><Relationship Id="rId41" Type="http://schemas.openxmlformats.org/officeDocument/2006/relationships/hyperlink" Target="http://www.nevo.co.il/law/71600/2.b.3" TargetMode="External"/><Relationship Id="rId54" Type="http://schemas.openxmlformats.org/officeDocument/2006/relationships/hyperlink" Target="http://www.nevo.co.il/law/74903/192a" TargetMode="External"/><Relationship Id="rId62" Type="http://schemas.openxmlformats.org/officeDocument/2006/relationships/hyperlink" Target="http://www.nevo.co.il/law/71600/48" TargetMode="External"/><Relationship Id="rId70" Type="http://schemas.openxmlformats.org/officeDocument/2006/relationships/hyperlink" Target="http://www.nevo.co.il/law/71600" TargetMode="External"/><Relationship Id="rId75" Type="http://schemas.openxmlformats.org/officeDocument/2006/relationships/header" Target="header4.xml"/><Relationship Id="rId1" Type="http://schemas.openxmlformats.org/officeDocument/2006/relationships/styles" Target="styles.xml"/><Relationship Id="rId6" Type="http://schemas.openxmlformats.org/officeDocument/2006/relationships/hyperlink" Target="http://www.nevo.co.il/case/574314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14</Pages>
  <Words>4373</Words>
  <Characters>21868</Characters>
  <Application>Microsoft Office Word</Application>
  <DocSecurity>0</DocSecurity>
  <Lines>182</Lines>
  <Paragraphs>52</Paragraphs>
  <ScaleCrop>false</ScaleCrop>
  <HeadingPairs>
    <vt:vector size="4" baseType="variant">
      <vt:variant>
        <vt:lpstr>Title</vt:lpstr>
      </vt:variant>
      <vt:variant>
        <vt:i4>1</vt:i4>
      </vt:variant>
      <vt:variant>
        <vt:lpstr>שם</vt:lpstr>
      </vt:variant>
      <vt:variant>
        <vt:i4>1</vt:i4>
      </vt:variant>
    </vt:vector>
  </HeadingPairs>
  <TitlesOfParts>
    <vt:vector size="2" baseType="lpstr">
      <vt:lpstr>nevo.co.il</vt:lpstr>
      <vt:lpstr>nevo.co.il</vt:lpstr>
    </vt:vector>
  </TitlesOfParts>
  <Company/>
  <LinksUpToDate>false</LinksUpToDate>
  <CharactersWithSpaces>26189</CharactersWithSpaces>
  <SharedDoc>false</SharedDoc>
  <HLinks>
    <vt:vector size="378" baseType="variant">
      <vt:variant>
        <vt:i4>8061025</vt:i4>
      </vt:variant>
      <vt:variant>
        <vt:i4>186</vt:i4>
      </vt:variant>
      <vt:variant>
        <vt:i4>0</vt:i4>
      </vt:variant>
      <vt:variant>
        <vt:i4>5</vt:i4>
      </vt:variant>
      <vt:variant>
        <vt:lpwstr>http://www.nevo.co.il/law/71600</vt:lpwstr>
      </vt:variant>
      <vt:variant>
        <vt:lpwstr/>
      </vt:variant>
      <vt:variant>
        <vt:i4>3211385</vt:i4>
      </vt:variant>
      <vt:variant>
        <vt:i4>183</vt:i4>
      </vt:variant>
      <vt:variant>
        <vt:i4>0</vt:i4>
      </vt:variant>
      <vt:variant>
        <vt:i4>5</vt:i4>
      </vt:variant>
      <vt:variant>
        <vt:lpwstr>http://www.nevo.co.il/case/5864416</vt:lpwstr>
      </vt:variant>
      <vt:variant>
        <vt:lpwstr/>
      </vt:variant>
      <vt:variant>
        <vt:i4>8061025</vt:i4>
      </vt:variant>
      <vt:variant>
        <vt:i4>180</vt:i4>
      </vt:variant>
      <vt:variant>
        <vt:i4>0</vt:i4>
      </vt:variant>
      <vt:variant>
        <vt:i4>5</vt:i4>
      </vt:variant>
      <vt:variant>
        <vt:lpwstr>http://www.nevo.co.il/law/71600</vt:lpwstr>
      </vt:variant>
      <vt:variant>
        <vt:lpwstr/>
      </vt:variant>
      <vt:variant>
        <vt:i4>3276925</vt:i4>
      </vt:variant>
      <vt:variant>
        <vt:i4>177</vt:i4>
      </vt:variant>
      <vt:variant>
        <vt:i4>0</vt:i4>
      </vt:variant>
      <vt:variant>
        <vt:i4>5</vt:i4>
      </vt:variant>
      <vt:variant>
        <vt:lpwstr>http://www.nevo.co.il/case/5854755</vt:lpwstr>
      </vt:variant>
      <vt:variant>
        <vt:lpwstr/>
      </vt:variant>
      <vt:variant>
        <vt:i4>8061025</vt:i4>
      </vt:variant>
      <vt:variant>
        <vt:i4>174</vt:i4>
      </vt:variant>
      <vt:variant>
        <vt:i4>0</vt:i4>
      </vt:variant>
      <vt:variant>
        <vt:i4>5</vt:i4>
      </vt:variant>
      <vt:variant>
        <vt:lpwstr>http://www.nevo.co.il/law/71600</vt:lpwstr>
      </vt:variant>
      <vt:variant>
        <vt:lpwstr/>
      </vt:variant>
      <vt:variant>
        <vt:i4>8061025</vt:i4>
      </vt:variant>
      <vt:variant>
        <vt:i4>171</vt:i4>
      </vt:variant>
      <vt:variant>
        <vt:i4>0</vt:i4>
      </vt:variant>
      <vt:variant>
        <vt:i4>5</vt:i4>
      </vt:variant>
      <vt:variant>
        <vt:lpwstr>http://www.nevo.co.il/law/71600</vt:lpwstr>
      </vt:variant>
      <vt:variant>
        <vt:lpwstr/>
      </vt:variant>
      <vt:variant>
        <vt:i4>8061025</vt:i4>
      </vt:variant>
      <vt:variant>
        <vt:i4>168</vt:i4>
      </vt:variant>
      <vt:variant>
        <vt:i4>0</vt:i4>
      </vt:variant>
      <vt:variant>
        <vt:i4>5</vt:i4>
      </vt:variant>
      <vt:variant>
        <vt:lpwstr>http://www.nevo.co.il/law/71600</vt:lpwstr>
      </vt:variant>
      <vt:variant>
        <vt:lpwstr/>
      </vt:variant>
      <vt:variant>
        <vt:i4>3276916</vt:i4>
      </vt:variant>
      <vt:variant>
        <vt:i4>165</vt:i4>
      </vt:variant>
      <vt:variant>
        <vt:i4>0</vt:i4>
      </vt:variant>
      <vt:variant>
        <vt:i4>5</vt:i4>
      </vt:variant>
      <vt:variant>
        <vt:lpwstr>http://www.nevo.co.il/case/5810781</vt:lpwstr>
      </vt:variant>
      <vt:variant>
        <vt:lpwstr/>
      </vt:variant>
      <vt:variant>
        <vt:i4>8257646</vt:i4>
      </vt:variant>
      <vt:variant>
        <vt:i4>162</vt:i4>
      </vt:variant>
      <vt:variant>
        <vt:i4>0</vt:i4>
      </vt:variant>
      <vt:variant>
        <vt:i4>5</vt:i4>
      </vt:variant>
      <vt:variant>
        <vt:lpwstr>http://www.nevo.co.il/law/74903</vt:lpwstr>
      </vt:variant>
      <vt:variant>
        <vt:lpwstr/>
      </vt:variant>
      <vt:variant>
        <vt:i4>589918</vt:i4>
      </vt:variant>
      <vt:variant>
        <vt:i4>159</vt:i4>
      </vt:variant>
      <vt:variant>
        <vt:i4>0</vt:i4>
      </vt:variant>
      <vt:variant>
        <vt:i4>5</vt:i4>
      </vt:variant>
      <vt:variant>
        <vt:lpwstr>http://www.nevo.co.il/law/74903/192a</vt:lpwstr>
      </vt:variant>
      <vt:variant>
        <vt:lpwstr/>
      </vt:variant>
      <vt:variant>
        <vt:i4>3539069</vt:i4>
      </vt:variant>
      <vt:variant>
        <vt:i4>156</vt:i4>
      </vt:variant>
      <vt:variant>
        <vt:i4>0</vt:i4>
      </vt:variant>
      <vt:variant>
        <vt:i4>5</vt:i4>
      </vt:variant>
      <vt:variant>
        <vt:lpwstr>http://www.nevo.co.il/case/5876175</vt:lpwstr>
      </vt:variant>
      <vt:variant>
        <vt:lpwstr/>
      </vt:variant>
      <vt:variant>
        <vt:i4>3932280</vt:i4>
      </vt:variant>
      <vt:variant>
        <vt:i4>153</vt:i4>
      </vt:variant>
      <vt:variant>
        <vt:i4>0</vt:i4>
      </vt:variant>
      <vt:variant>
        <vt:i4>5</vt:i4>
      </vt:variant>
      <vt:variant>
        <vt:lpwstr>http://www.nevo.co.il/case/5910850</vt:lpwstr>
      </vt:variant>
      <vt:variant>
        <vt:lpwstr/>
      </vt:variant>
      <vt:variant>
        <vt:i4>7077989</vt:i4>
      </vt:variant>
      <vt:variant>
        <vt:i4>150</vt:i4>
      </vt:variant>
      <vt:variant>
        <vt:i4>0</vt:i4>
      </vt:variant>
      <vt:variant>
        <vt:i4>5</vt:i4>
      </vt:variant>
      <vt:variant>
        <vt:lpwstr>http://www.nevo.co.il/law/71600/48</vt:lpwstr>
      </vt:variant>
      <vt:variant>
        <vt:lpwstr/>
      </vt:variant>
      <vt:variant>
        <vt:i4>3801201</vt:i4>
      </vt:variant>
      <vt:variant>
        <vt:i4>147</vt:i4>
      </vt:variant>
      <vt:variant>
        <vt:i4>0</vt:i4>
      </vt:variant>
      <vt:variant>
        <vt:i4>5</vt:i4>
      </vt:variant>
      <vt:variant>
        <vt:lpwstr>http://www.nevo.co.il/case/6102864</vt:lpwstr>
      </vt:variant>
      <vt:variant>
        <vt:lpwstr/>
      </vt:variant>
      <vt:variant>
        <vt:i4>7077989</vt:i4>
      </vt:variant>
      <vt:variant>
        <vt:i4>144</vt:i4>
      </vt:variant>
      <vt:variant>
        <vt:i4>0</vt:i4>
      </vt:variant>
      <vt:variant>
        <vt:i4>5</vt:i4>
      </vt:variant>
      <vt:variant>
        <vt:lpwstr>http://www.nevo.co.il/law/71600/48</vt:lpwstr>
      </vt:variant>
      <vt:variant>
        <vt:lpwstr/>
      </vt:variant>
      <vt:variant>
        <vt:i4>3342437</vt:i4>
      </vt:variant>
      <vt:variant>
        <vt:i4>141</vt:i4>
      </vt:variant>
      <vt:variant>
        <vt:i4>0</vt:i4>
      </vt:variant>
      <vt:variant>
        <vt:i4>5</vt:i4>
      </vt:variant>
      <vt:variant>
        <vt:lpwstr>http://www.nevo.co.il/law/71600/47.a.1</vt:lpwstr>
      </vt:variant>
      <vt:variant>
        <vt:lpwstr/>
      </vt:variant>
      <vt:variant>
        <vt:i4>8061025</vt:i4>
      </vt:variant>
      <vt:variant>
        <vt:i4>138</vt:i4>
      </vt:variant>
      <vt:variant>
        <vt:i4>0</vt:i4>
      </vt:variant>
      <vt:variant>
        <vt:i4>5</vt:i4>
      </vt:variant>
      <vt:variant>
        <vt:lpwstr>http://www.nevo.co.il/law/71600</vt:lpwstr>
      </vt:variant>
      <vt:variant>
        <vt:lpwstr/>
      </vt:variant>
      <vt:variant>
        <vt:i4>5505105</vt:i4>
      </vt:variant>
      <vt:variant>
        <vt:i4>135</vt:i4>
      </vt:variant>
      <vt:variant>
        <vt:i4>0</vt:i4>
      </vt:variant>
      <vt:variant>
        <vt:i4>5</vt:i4>
      </vt:variant>
      <vt:variant>
        <vt:lpwstr>http://www.nevo.co.il/law/71600/2</vt:lpwstr>
      </vt:variant>
      <vt:variant>
        <vt:lpwstr/>
      </vt:variant>
      <vt:variant>
        <vt:i4>3997813</vt:i4>
      </vt:variant>
      <vt:variant>
        <vt:i4>132</vt:i4>
      </vt:variant>
      <vt:variant>
        <vt:i4>0</vt:i4>
      </vt:variant>
      <vt:variant>
        <vt:i4>5</vt:i4>
      </vt:variant>
      <vt:variant>
        <vt:lpwstr>http://www.nevo.co.il/case/5959419</vt:lpwstr>
      </vt:variant>
      <vt:variant>
        <vt:lpwstr/>
      </vt:variant>
      <vt:variant>
        <vt:i4>8257646</vt:i4>
      </vt:variant>
      <vt:variant>
        <vt:i4>129</vt:i4>
      </vt:variant>
      <vt:variant>
        <vt:i4>0</vt:i4>
      </vt:variant>
      <vt:variant>
        <vt:i4>5</vt:i4>
      </vt:variant>
      <vt:variant>
        <vt:lpwstr>http://www.nevo.co.il/law/74903</vt:lpwstr>
      </vt:variant>
      <vt:variant>
        <vt:lpwstr/>
      </vt:variant>
      <vt:variant>
        <vt:i4>589918</vt:i4>
      </vt:variant>
      <vt:variant>
        <vt:i4>126</vt:i4>
      </vt:variant>
      <vt:variant>
        <vt:i4>0</vt:i4>
      </vt:variant>
      <vt:variant>
        <vt:i4>5</vt:i4>
      </vt:variant>
      <vt:variant>
        <vt:lpwstr>http://www.nevo.co.il/law/74903/192a</vt:lpwstr>
      </vt:variant>
      <vt:variant>
        <vt:lpwstr/>
      </vt:variant>
      <vt:variant>
        <vt:i4>3342437</vt:i4>
      </vt:variant>
      <vt:variant>
        <vt:i4>123</vt:i4>
      </vt:variant>
      <vt:variant>
        <vt:i4>0</vt:i4>
      </vt:variant>
      <vt:variant>
        <vt:i4>5</vt:i4>
      </vt:variant>
      <vt:variant>
        <vt:lpwstr>http://www.nevo.co.il/law/71600/47.a.1</vt:lpwstr>
      </vt:variant>
      <vt:variant>
        <vt:lpwstr/>
      </vt:variant>
      <vt:variant>
        <vt:i4>5505105</vt:i4>
      </vt:variant>
      <vt:variant>
        <vt:i4>120</vt:i4>
      </vt:variant>
      <vt:variant>
        <vt:i4>0</vt:i4>
      </vt:variant>
      <vt:variant>
        <vt:i4>5</vt:i4>
      </vt:variant>
      <vt:variant>
        <vt:lpwstr>http://www.nevo.co.il/law/71600/4</vt:lpwstr>
      </vt:variant>
      <vt:variant>
        <vt:lpwstr/>
      </vt:variant>
      <vt:variant>
        <vt:i4>5505025</vt:i4>
      </vt:variant>
      <vt:variant>
        <vt:i4>117</vt:i4>
      </vt:variant>
      <vt:variant>
        <vt:i4>0</vt:i4>
      </vt:variant>
      <vt:variant>
        <vt:i4>5</vt:i4>
      </vt:variant>
      <vt:variant>
        <vt:lpwstr>http://www.nevo.co.il/law/71600/2.b.4</vt:lpwstr>
      </vt:variant>
      <vt:variant>
        <vt:lpwstr/>
      </vt:variant>
      <vt:variant>
        <vt:i4>5505025</vt:i4>
      </vt:variant>
      <vt:variant>
        <vt:i4>114</vt:i4>
      </vt:variant>
      <vt:variant>
        <vt:i4>0</vt:i4>
      </vt:variant>
      <vt:variant>
        <vt:i4>5</vt:i4>
      </vt:variant>
      <vt:variant>
        <vt:lpwstr>http://www.nevo.co.il/law/71600/2.b.1</vt:lpwstr>
      </vt:variant>
      <vt:variant>
        <vt:lpwstr/>
      </vt:variant>
      <vt:variant>
        <vt:i4>7995491</vt:i4>
      </vt:variant>
      <vt:variant>
        <vt:i4>111</vt:i4>
      </vt:variant>
      <vt:variant>
        <vt:i4>0</vt:i4>
      </vt:variant>
      <vt:variant>
        <vt:i4>5</vt:i4>
      </vt:variant>
      <vt:variant>
        <vt:lpwstr>http://www.nevo.co.il/law/71600/2.a</vt:lpwstr>
      </vt:variant>
      <vt:variant>
        <vt:lpwstr/>
      </vt:variant>
      <vt:variant>
        <vt:i4>3342437</vt:i4>
      </vt:variant>
      <vt:variant>
        <vt:i4>108</vt:i4>
      </vt:variant>
      <vt:variant>
        <vt:i4>0</vt:i4>
      </vt:variant>
      <vt:variant>
        <vt:i4>5</vt:i4>
      </vt:variant>
      <vt:variant>
        <vt:lpwstr>http://www.nevo.co.il/law/71600/47.a.1</vt:lpwstr>
      </vt:variant>
      <vt:variant>
        <vt:lpwstr/>
      </vt:variant>
      <vt:variant>
        <vt:i4>5505105</vt:i4>
      </vt:variant>
      <vt:variant>
        <vt:i4>105</vt:i4>
      </vt:variant>
      <vt:variant>
        <vt:i4>0</vt:i4>
      </vt:variant>
      <vt:variant>
        <vt:i4>5</vt:i4>
      </vt:variant>
      <vt:variant>
        <vt:lpwstr>http://www.nevo.co.il/law/71600/4</vt:lpwstr>
      </vt:variant>
      <vt:variant>
        <vt:lpwstr/>
      </vt:variant>
      <vt:variant>
        <vt:i4>5505025</vt:i4>
      </vt:variant>
      <vt:variant>
        <vt:i4>102</vt:i4>
      </vt:variant>
      <vt:variant>
        <vt:i4>0</vt:i4>
      </vt:variant>
      <vt:variant>
        <vt:i4>5</vt:i4>
      </vt:variant>
      <vt:variant>
        <vt:lpwstr>http://www.nevo.co.il/law/71600/2.b.1</vt:lpwstr>
      </vt:variant>
      <vt:variant>
        <vt:lpwstr/>
      </vt:variant>
      <vt:variant>
        <vt:i4>7995491</vt:i4>
      </vt:variant>
      <vt:variant>
        <vt:i4>99</vt:i4>
      </vt:variant>
      <vt:variant>
        <vt:i4>0</vt:i4>
      </vt:variant>
      <vt:variant>
        <vt:i4>5</vt:i4>
      </vt:variant>
      <vt:variant>
        <vt:lpwstr>http://www.nevo.co.il/law/71600/2.a</vt:lpwstr>
      </vt:variant>
      <vt:variant>
        <vt:lpwstr/>
      </vt:variant>
      <vt:variant>
        <vt:i4>3342437</vt:i4>
      </vt:variant>
      <vt:variant>
        <vt:i4>96</vt:i4>
      </vt:variant>
      <vt:variant>
        <vt:i4>0</vt:i4>
      </vt:variant>
      <vt:variant>
        <vt:i4>5</vt:i4>
      </vt:variant>
      <vt:variant>
        <vt:lpwstr>http://www.nevo.co.il/law/71600/47.a.1</vt:lpwstr>
      </vt:variant>
      <vt:variant>
        <vt:lpwstr/>
      </vt:variant>
      <vt:variant>
        <vt:i4>5505105</vt:i4>
      </vt:variant>
      <vt:variant>
        <vt:i4>93</vt:i4>
      </vt:variant>
      <vt:variant>
        <vt:i4>0</vt:i4>
      </vt:variant>
      <vt:variant>
        <vt:i4>5</vt:i4>
      </vt:variant>
      <vt:variant>
        <vt:lpwstr>http://www.nevo.co.il/law/71600/4</vt:lpwstr>
      </vt:variant>
      <vt:variant>
        <vt:lpwstr/>
      </vt:variant>
      <vt:variant>
        <vt:i4>5505025</vt:i4>
      </vt:variant>
      <vt:variant>
        <vt:i4>90</vt:i4>
      </vt:variant>
      <vt:variant>
        <vt:i4>0</vt:i4>
      </vt:variant>
      <vt:variant>
        <vt:i4>5</vt:i4>
      </vt:variant>
      <vt:variant>
        <vt:lpwstr>http://www.nevo.co.il/law/71600/2.b.4</vt:lpwstr>
      </vt:variant>
      <vt:variant>
        <vt:lpwstr/>
      </vt:variant>
      <vt:variant>
        <vt:i4>5505025</vt:i4>
      </vt:variant>
      <vt:variant>
        <vt:i4>87</vt:i4>
      </vt:variant>
      <vt:variant>
        <vt:i4>0</vt:i4>
      </vt:variant>
      <vt:variant>
        <vt:i4>5</vt:i4>
      </vt:variant>
      <vt:variant>
        <vt:lpwstr>http://www.nevo.co.il/law/71600/2.b.3</vt:lpwstr>
      </vt:variant>
      <vt:variant>
        <vt:lpwstr/>
      </vt:variant>
      <vt:variant>
        <vt:i4>7995491</vt:i4>
      </vt:variant>
      <vt:variant>
        <vt:i4>84</vt:i4>
      </vt:variant>
      <vt:variant>
        <vt:i4>0</vt:i4>
      </vt:variant>
      <vt:variant>
        <vt:i4>5</vt:i4>
      </vt:variant>
      <vt:variant>
        <vt:lpwstr>http://www.nevo.co.il/law/71600/2.a</vt:lpwstr>
      </vt:variant>
      <vt:variant>
        <vt:lpwstr/>
      </vt:variant>
      <vt:variant>
        <vt:i4>5505025</vt:i4>
      </vt:variant>
      <vt:variant>
        <vt:i4>81</vt:i4>
      </vt:variant>
      <vt:variant>
        <vt:i4>0</vt:i4>
      </vt:variant>
      <vt:variant>
        <vt:i4>5</vt:i4>
      </vt:variant>
      <vt:variant>
        <vt:lpwstr>http://www.nevo.co.il/law/71600/2.b.4</vt:lpwstr>
      </vt:variant>
      <vt:variant>
        <vt:lpwstr/>
      </vt:variant>
      <vt:variant>
        <vt:i4>5505025</vt:i4>
      </vt:variant>
      <vt:variant>
        <vt:i4>78</vt:i4>
      </vt:variant>
      <vt:variant>
        <vt:i4>0</vt:i4>
      </vt:variant>
      <vt:variant>
        <vt:i4>5</vt:i4>
      </vt:variant>
      <vt:variant>
        <vt:lpwstr>http://www.nevo.co.il/law/71600/2.b.3</vt:lpwstr>
      </vt:variant>
      <vt:variant>
        <vt:lpwstr/>
      </vt:variant>
      <vt:variant>
        <vt:i4>5505025</vt:i4>
      </vt:variant>
      <vt:variant>
        <vt:i4>75</vt:i4>
      </vt:variant>
      <vt:variant>
        <vt:i4>0</vt:i4>
      </vt:variant>
      <vt:variant>
        <vt:i4>5</vt:i4>
      </vt:variant>
      <vt:variant>
        <vt:lpwstr>http://www.nevo.co.il/law/71600/2.b.4</vt:lpwstr>
      </vt:variant>
      <vt:variant>
        <vt:lpwstr/>
      </vt:variant>
      <vt:variant>
        <vt:i4>5505025</vt:i4>
      </vt:variant>
      <vt:variant>
        <vt:i4>72</vt:i4>
      </vt:variant>
      <vt:variant>
        <vt:i4>0</vt:i4>
      </vt:variant>
      <vt:variant>
        <vt:i4>5</vt:i4>
      </vt:variant>
      <vt:variant>
        <vt:lpwstr>http://www.nevo.co.il/law/71600/2.b.3</vt:lpwstr>
      </vt:variant>
      <vt:variant>
        <vt:lpwstr/>
      </vt:variant>
      <vt:variant>
        <vt:i4>7077989</vt:i4>
      </vt:variant>
      <vt:variant>
        <vt:i4>69</vt:i4>
      </vt:variant>
      <vt:variant>
        <vt:i4>0</vt:i4>
      </vt:variant>
      <vt:variant>
        <vt:i4>5</vt:i4>
      </vt:variant>
      <vt:variant>
        <vt:lpwstr>http://www.nevo.co.il/law/71600/48</vt:lpwstr>
      </vt:variant>
      <vt:variant>
        <vt:lpwstr/>
      </vt:variant>
      <vt:variant>
        <vt:i4>3342437</vt:i4>
      </vt:variant>
      <vt:variant>
        <vt:i4>66</vt:i4>
      </vt:variant>
      <vt:variant>
        <vt:i4>0</vt:i4>
      </vt:variant>
      <vt:variant>
        <vt:i4>5</vt:i4>
      </vt:variant>
      <vt:variant>
        <vt:lpwstr>http://www.nevo.co.il/law/71600/47.a.1</vt:lpwstr>
      </vt:variant>
      <vt:variant>
        <vt:lpwstr/>
      </vt:variant>
      <vt:variant>
        <vt:i4>5505105</vt:i4>
      </vt:variant>
      <vt:variant>
        <vt:i4>63</vt:i4>
      </vt:variant>
      <vt:variant>
        <vt:i4>0</vt:i4>
      </vt:variant>
      <vt:variant>
        <vt:i4>5</vt:i4>
      </vt:variant>
      <vt:variant>
        <vt:lpwstr>http://www.nevo.co.il/law/71600/4</vt:lpwstr>
      </vt:variant>
      <vt:variant>
        <vt:lpwstr/>
      </vt:variant>
      <vt:variant>
        <vt:i4>5505025</vt:i4>
      </vt:variant>
      <vt:variant>
        <vt:i4>60</vt:i4>
      </vt:variant>
      <vt:variant>
        <vt:i4>0</vt:i4>
      </vt:variant>
      <vt:variant>
        <vt:i4>5</vt:i4>
      </vt:variant>
      <vt:variant>
        <vt:lpwstr>http://www.nevo.co.il/law/71600/2.b.1</vt:lpwstr>
      </vt:variant>
      <vt:variant>
        <vt:lpwstr/>
      </vt:variant>
      <vt:variant>
        <vt:i4>7995491</vt:i4>
      </vt:variant>
      <vt:variant>
        <vt:i4>57</vt:i4>
      </vt:variant>
      <vt:variant>
        <vt:i4>0</vt:i4>
      </vt:variant>
      <vt:variant>
        <vt:i4>5</vt:i4>
      </vt:variant>
      <vt:variant>
        <vt:lpwstr>http://www.nevo.co.il/law/71600/2.a</vt:lpwstr>
      </vt:variant>
      <vt:variant>
        <vt:lpwstr/>
      </vt:variant>
      <vt:variant>
        <vt:i4>3145844</vt:i4>
      </vt:variant>
      <vt:variant>
        <vt:i4>54</vt:i4>
      </vt:variant>
      <vt:variant>
        <vt:i4>0</vt:i4>
      </vt:variant>
      <vt:variant>
        <vt:i4>5</vt:i4>
      </vt:variant>
      <vt:variant>
        <vt:lpwstr>http://www.nevo.co.il/case/5743140</vt:lpwstr>
      </vt:variant>
      <vt:variant>
        <vt:lpwstr/>
      </vt:variant>
      <vt:variant>
        <vt:i4>3211380</vt:i4>
      </vt:variant>
      <vt:variant>
        <vt:i4>51</vt:i4>
      </vt:variant>
      <vt:variant>
        <vt:i4>0</vt:i4>
      </vt:variant>
      <vt:variant>
        <vt:i4>5</vt:i4>
      </vt:variant>
      <vt:variant>
        <vt:lpwstr>http://www.nevo.co.il/case/5743141</vt:lpwstr>
      </vt:variant>
      <vt:variant>
        <vt:lpwstr/>
      </vt:variant>
      <vt:variant>
        <vt:i4>8061025</vt:i4>
      </vt:variant>
      <vt:variant>
        <vt:i4>48</vt:i4>
      </vt:variant>
      <vt:variant>
        <vt:i4>0</vt:i4>
      </vt:variant>
      <vt:variant>
        <vt:i4>5</vt:i4>
      </vt:variant>
      <vt:variant>
        <vt:lpwstr>http://www.nevo.co.il/law/71600</vt:lpwstr>
      </vt:variant>
      <vt:variant>
        <vt:lpwstr/>
      </vt:variant>
      <vt:variant>
        <vt:i4>3145844</vt:i4>
      </vt:variant>
      <vt:variant>
        <vt:i4>45</vt:i4>
      </vt:variant>
      <vt:variant>
        <vt:i4>0</vt:i4>
      </vt:variant>
      <vt:variant>
        <vt:i4>5</vt:i4>
      </vt:variant>
      <vt:variant>
        <vt:lpwstr>http://www.nevo.co.il/case/5743140</vt:lpwstr>
      </vt:variant>
      <vt:variant>
        <vt:lpwstr/>
      </vt:variant>
      <vt:variant>
        <vt:i4>3211380</vt:i4>
      </vt:variant>
      <vt:variant>
        <vt:i4>42</vt:i4>
      </vt:variant>
      <vt:variant>
        <vt:i4>0</vt:i4>
      </vt:variant>
      <vt:variant>
        <vt:i4>5</vt:i4>
      </vt:variant>
      <vt:variant>
        <vt:lpwstr>http://www.nevo.co.il/case/5743141</vt:lpwstr>
      </vt:variant>
      <vt:variant>
        <vt:lpwstr/>
      </vt:variant>
      <vt:variant>
        <vt:i4>3145844</vt:i4>
      </vt:variant>
      <vt:variant>
        <vt:i4>39</vt:i4>
      </vt:variant>
      <vt:variant>
        <vt:i4>0</vt:i4>
      </vt:variant>
      <vt:variant>
        <vt:i4>5</vt:i4>
      </vt:variant>
      <vt:variant>
        <vt:lpwstr>http://www.nevo.co.il/case/5743140</vt:lpwstr>
      </vt:variant>
      <vt:variant>
        <vt:lpwstr/>
      </vt:variant>
      <vt:variant>
        <vt:i4>67</vt:i4>
      </vt:variant>
      <vt:variant>
        <vt:i4>36</vt:i4>
      </vt:variant>
      <vt:variant>
        <vt:i4>0</vt:i4>
      </vt:variant>
      <vt:variant>
        <vt:i4>5</vt:i4>
      </vt:variant>
      <vt:variant>
        <vt:lpwstr>http://www.nevo.co.il/case/704731</vt:lpwstr>
      </vt:variant>
      <vt:variant>
        <vt:lpwstr/>
      </vt:variant>
      <vt:variant>
        <vt:i4>3211385</vt:i4>
      </vt:variant>
      <vt:variant>
        <vt:i4>33</vt:i4>
      </vt:variant>
      <vt:variant>
        <vt:i4>0</vt:i4>
      </vt:variant>
      <vt:variant>
        <vt:i4>5</vt:i4>
      </vt:variant>
      <vt:variant>
        <vt:lpwstr>http://www.nevo.co.il/case/5864416</vt:lpwstr>
      </vt:variant>
      <vt:variant>
        <vt:lpwstr/>
      </vt:variant>
      <vt:variant>
        <vt:i4>3276925</vt:i4>
      </vt:variant>
      <vt:variant>
        <vt:i4>30</vt:i4>
      </vt:variant>
      <vt:variant>
        <vt:i4>0</vt:i4>
      </vt:variant>
      <vt:variant>
        <vt:i4>5</vt:i4>
      </vt:variant>
      <vt:variant>
        <vt:lpwstr>http://www.nevo.co.il/case/5854755</vt:lpwstr>
      </vt:variant>
      <vt:variant>
        <vt:lpwstr/>
      </vt:variant>
      <vt:variant>
        <vt:i4>3276916</vt:i4>
      </vt:variant>
      <vt:variant>
        <vt:i4>27</vt:i4>
      </vt:variant>
      <vt:variant>
        <vt:i4>0</vt:i4>
      </vt:variant>
      <vt:variant>
        <vt:i4>5</vt:i4>
      </vt:variant>
      <vt:variant>
        <vt:lpwstr>http://www.nevo.co.il/case/5810781</vt:lpwstr>
      </vt:variant>
      <vt:variant>
        <vt:lpwstr/>
      </vt:variant>
      <vt:variant>
        <vt:i4>3539069</vt:i4>
      </vt:variant>
      <vt:variant>
        <vt:i4>24</vt:i4>
      </vt:variant>
      <vt:variant>
        <vt:i4>0</vt:i4>
      </vt:variant>
      <vt:variant>
        <vt:i4>5</vt:i4>
      </vt:variant>
      <vt:variant>
        <vt:lpwstr>http://www.nevo.co.il/case/5876175</vt:lpwstr>
      </vt:variant>
      <vt:variant>
        <vt:lpwstr/>
      </vt:variant>
      <vt:variant>
        <vt:i4>3932280</vt:i4>
      </vt:variant>
      <vt:variant>
        <vt:i4>21</vt:i4>
      </vt:variant>
      <vt:variant>
        <vt:i4>0</vt:i4>
      </vt:variant>
      <vt:variant>
        <vt:i4>5</vt:i4>
      </vt:variant>
      <vt:variant>
        <vt:lpwstr>http://www.nevo.co.il/case/5910850</vt:lpwstr>
      </vt:variant>
      <vt:variant>
        <vt:lpwstr/>
      </vt:variant>
      <vt:variant>
        <vt:i4>3801201</vt:i4>
      </vt:variant>
      <vt:variant>
        <vt:i4>18</vt:i4>
      </vt:variant>
      <vt:variant>
        <vt:i4>0</vt:i4>
      </vt:variant>
      <vt:variant>
        <vt:i4>5</vt:i4>
      </vt:variant>
      <vt:variant>
        <vt:lpwstr>http://www.nevo.co.il/case/6102864</vt:lpwstr>
      </vt:variant>
      <vt:variant>
        <vt:lpwstr/>
      </vt:variant>
      <vt:variant>
        <vt:i4>3997813</vt:i4>
      </vt:variant>
      <vt:variant>
        <vt:i4>15</vt:i4>
      </vt:variant>
      <vt:variant>
        <vt:i4>0</vt:i4>
      </vt:variant>
      <vt:variant>
        <vt:i4>5</vt:i4>
      </vt:variant>
      <vt:variant>
        <vt:lpwstr>http://www.nevo.co.il/case/5959419</vt:lpwstr>
      </vt:variant>
      <vt:variant>
        <vt:lpwstr/>
      </vt:variant>
      <vt:variant>
        <vt:i4>8257646</vt:i4>
      </vt:variant>
      <vt:variant>
        <vt:i4>12</vt:i4>
      </vt:variant>
      <vt:variant>
        <vt:i4>0</vt:i4>
      </vt:variant>
      <vt:variant>
        <vt:i4>5</vt:i4>
      </vt:variant>
      <vt:variant>
        <vt:lpwstr>http://www.nevo.co.il/law/74903</vt:lpwstr>
      </vt:variant>
      <vt:variant>
        <vt:lpwstr/>
      </vt:variant>
      <vt:variant>
        <vt:i4>8061025</vt:i4>
      </vt:variant>
      <vt:variant>
        <vt:i4>9</vt:i4>
      </vt:variant>
      <vt:variant>
        <vt:i4>0</vt:i4>
      </vt:variant>
      <vt:variant>
        <vt:i4>5</vt:i4>
      </vt:variant>
      <vt:variant>
        <vt:lpwstr>http://www.nevo.co.il/law/71600</vt:lpwstr>
      </vt:variant>
      <vt:variant>
        <vt:lpwstr/>
      </vt:variant>
      <vt:variant>
        <vt:i4>8061025</vt:i4>
      </vt:variant>
      <vt:variant>
        <vt:i4>6</vt:i4>
      </vt:variant>
      <vt:variant>
        <vt:i4>0</vt:i4>
      </vt:variant>
      <vt:variant>
        <vt:i4>5</vt:i4>
      </vt:variant>
      <vt:variant>
        <vt:lpwstr>http://www.nevo.co.il/law/71600</vt:lpwstr>
      </vt:variant>
      <vt:variant>
        <vt:lpwstr/>
      </vt:variant>
      <vt:variant>
        <vt:i4>3211380</vt:i4>
      </vt:variant>
      <vt:variant>
        <vt:i4>3</vt:i4>
      </vt:variant>
      <vt:variant>
        <vt:i4>0</vt:i4>
      </vt:variant>
      <vt:variant>
        <vt:i4>5</vt:i4>
      </vt:variant>
      <vt:variant>
        <vt:lpwstr>http://www.nevo.co.il/case/5743141</vt:lpwstr>
      </vt:variant>
      <vt:variant>
        <vt:lpwstr/>
      </vt:variant>
      <vt:variant>
        <vt:i4>3145844</vt:i4>
      </vt:variant>
      <vt:variant>
        <vt:i4>0</vt:i4>
      </vt:variant>
      <vt:variant>
        <vt:i4>0</vt:i4>
      </vt:variant>
      <vt:variant>
        <vt:i4>5</vt:i4>
      </vt:variant>
      <vt:variant>
        <vt:lpwstr>http://www.nevo.co.il/case/5743140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nevo.co.il</dc:title>
  <dc:subject> </dc:subject>
  <dc:creator>Alina Raichlin</dc:creator>
  <cp:keywords/>
  <cp:lastModifiedBy>Melita Shafir</cp:lastModifiedBy>
  <cp:revision>2</cp:revision>
  <cp:lastPrinted>2004-05-31T07:21:00Z</cp:lastPrinted>
  <dcterms:created xsi:type="dcterms:W3CDTF">2019-01-30T09:49:00Z</dcterms:created>
  <dcterms:modified xsi:type="dcterms:W3CDTF">2019-01-30T09:49:00Z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ORDNUMPAGES">
    <vt:lpwstr>14</vt:lpwstr>
  </property>
  <property fmtid="{D5CDD505-2E9C-101B-9397-08002B2CF9AE}" pid="3" name="ISABSTRACT">
    <vt:lpwstr>Y</vt:lpwstr>
  </property>
  <property fmtid="{D5CDD505-2E9C-101B-9397-08002B2CF9AE}" pid="4" name="PADIMAIL">
    <vt:lpwstr>YES</vt:lpwstr>
  </property>
  <property fmtid="{D5CDD505-2E9C-101B-9397-08002B2CF9AE}" pid="5" name="PROCESS">
    <vt:lpwstr>עפ</vt:lpwstr>
  </property>
  <property fmtid="{D5CDD505-2E9C-101B-9397-08002B2CF9AE}" pid="6" name="PROCNUM">
    <vt:lpwstr>1042;1058</vt:lpwstr>
  </property>
  <property fmtid="{D5CDD505-2E9C-101B-9397-08002B2CF9AE}" pid="7" name="PROCYEAR">
    <vt:lpwstr>03;03</vt:lpwstr>
  </property>
  <property fmtid="{D5CDD505-2E9C-101B-9397-08002B2CF9AE}" pid="8" name="APPELLANT">
    <vt:lpwstr>מצרפלס שותפות מוגבלת בע#מ (1974);דב אביטל;יעקב בן יצחק הרץ</vt:lpwstr>
  </property>
  <property fmtid="{D5CDD505-2E9C-101B-9397-08002B2CF9AE}" pid="9" name="APPELLEE">
    <vt:lpwstr>מדינת ישראל</vt:lpwstr>
  </property>
  <property fmtid="{D5CDD505-2E9C-101B-9397-08002B2CF9AE}" pid="10" name="DATE">
    <vt:lpwstr>20031110</vt:lpwstr>
  </property>
  <property fmtid="{D5CDD505-2E9C-101B-9397-08002B2CF9AE}" pid="11" name="JUDGE">
    <vt:lpwstr>מ' חשין; א' פרוקצ'יה; מ' נאור</vt:lpwstr>
  </property>
  <property fmtid="{D5CDD505-2E9C-101B-9397-08002B2CF9AE}" pid="12" name="PSAKDIN">
    <vt:lpwstr>פסק-דין</vt:lpwstr>
  </property>
  <property fmtid="{D5CDD505-2E9C-101B-9397-08002B2CF9AE}" pid="13" name="LAWYER">
    <vt:lpwstr>דוד ליבאי; גלי פולק-רון;יעקב בויאר; מירב וייס;אשר גושן</vt:lpwstr>
  </property>
  <property fmtid="{D5CDD505-2E9C-101B-9397-08002B2CF9AE}" pid="14" name="CITY">
    <vt:lpwstr/>
  </property>
  <property fmtid="{D5CDD505-2E9C-101B-9397-08002B2CF9AE}" pid="15" name="TYPE">
    <vt:lpwstr>1</vt:lpwstr>
  </property>
  <property fmtid="{D5CDD505-2E9C-101B-9397-08002B2CF9AE}" pid="16" name="VOLUME">
    <vt:lpwstr>נח</vt:lpwstr>
  </property>
  <property fmtid="{D5CDD505-2E9C-101B-9397-08002B2CF9AE}" pid="17" name="PART">
    <vt:lpwstr>1</vt:lpwstr>
  </property>
  <property fmtid="{D5CDD505-2E9C-101B-9397-08002B2CF9AE}" pid="18" name="PAGE">
    <vt:lpwstr>721</vt:lpwstr>
  </property>
  <property fmtid="{D5CDD505-2E9C-101B-9397-08002B2CF9AE}" pid="19" name="NOSE1">
    <vt:lpwstr/>
  </property>
  <property fmtid="{D5CDD505-2E9C-101B-9397-08002B2CF9AE}" pid="20" name="NOSE2">
    <vt:lpwstr/>
  </property>
  <property fmtid="{D5CDD505-2E9C-101B-9397-08002B2CF9AE}" pid="21" name="NOSE3">
    <vt:lpwstr/>
  </property>
  <property fmtid="{D5CDD505-2E9C-101B-9397-08002B2CF9AE}" pid="22" name="LINKK1">
    <vt:lpwstr/>
  </property>
  <property fmtid="{D5CDD505-2E9C-101B-9397-08002B2CF9AE}" pid="23" name="LINKK2">
    <vt:lpwstr/>
  </property>
  <property fmtid="{D5CDD505-2E9C-101B-9397-08002B2CF9AE}" pid="24" name="LINKK3">
    <vt:lpwstr/>
  </property>
  <property fmtid="{D5CDD505-2E9C-101B-9397-08002B2CF9AE}" pid="25" name="LINKK4">
    <vt:lpwstr/>
  </property>
  <property fmtid="{D5CDD505-2E9C-101B-9397-08002B2CF9AE}" pid="26" name="LINKK5">
    <vt:lpwstr/>
  </property>
  <property fmtid="{D5CDD505-2E9C-101B-9397-08002B2CF9AE}" pid="27" name="LINKK6">
    <vt:lpwstr/>
  </property>
  <property fmtid="{D5CDD505-2E9C-101B-9397-08002B2CF9AE}" pid="28" name="LINKK7">
    <vt:lpwstr/>
  </property>
  <property fmtid="{D5CDD505-2E9C-101B-9397-08002B2CF9AE}" pid="29" name="LINKK8">
    <vt:lpwstr/>
  </property>
  <property fmtid="{D5CDD505-2E9C-101B-9397-08002B2CF9AE}" pid="30" name="LINKK9">
    <vt:lpwstr/>
  </property>
  <property fmtid="{D5CDD505-2E9C-101B-9397-08002B2CF9AE}" pid="31" name="LINKK10">
    <vt:lpwstr/>
  </property>
  <property fmtid="{D5CDD505-2E9C-101B-9397-08002B2CF9AE}" pid="32" name="LINKK11">
    <vt:lpwstr/>
  </property>
  <property fmtid="{D5CDD505-2E9C-101B-9397-08002B2CF9AE}" pid="33" name="LINKK12">
    <vt:lpwstr/>
  </property>
  <property fmtid="{D5CDD505-2E9C-101B-9397-08002B2CF9AE}" pid="34" name="NOSE11">
    <vt:lpwstr>הגבלים עסקיים</vt:lpwstr>
  </property>
  <property fmtid="{D5CDD505-2E9C-101B-9397-08002B2CF9AE}" pid="35" name="NOSE21">
    <vt:lpwstr>הסדר כובל</vt:lpwstr>
  </property>
  <property fmtid="{D5CDD505-2E9C-101B-9397-08002B2CF9AE}" pid="36" name="NOSE31">
    <vt:lpwstr>כעבירה</vt:lpwstr>
  </property>
  <property fmtid="{D5CDD505-2E9C-101B-9397-08002B2CF9AE}" pid="37" name="NOSE32">
    <vt:lpwstr>מהו</vt:lpwstr>
  </property>
  <property fmtid="{D5CDD505-2E9C-101B-9397-08002B2CF9AE}" pid="38" name="NOSE12">
    <vt:lpwstr>הגבלים עסקיים</vt:lpwstr>
  </property>
  <property fmtid="{D5CDD505-2E9C-101B-9397-08002B2CF9AE}" pid="39" name="NOSE22">
    <vt:lpwstr>הסדר כובל</vt:lpwstr>
  </property>
  <property fmtid="{D5CDD505-2E9C-101B-9397-08002B2CF9AE}" pid="40" name="NOSE13">
    <vt:lpwstr/>
  </property>
  <property fmtid="{D5CDD505-2E9C-101B-9397-08002B2CF9AE}" pid="41" name="NOSE23">
    <vt:lpwstr/>
  </property>
  <property fmtid="{D5CDD505-2E9C-101B-9397-08002B2CF9AE}" pid="42" name="NOSE33">
    <vt:lpwstr/>
  </property>
  <property fmtid="{D5CDD505-2E9C-101B-9397-08002B2CF9AE}" pid="43" name="NOSE14">
    <vt:lpwstr/>
  </property>
  <property fmtid="{D5CDD505-2E9C-101B-9397-08002B2CF9AE}" pid="44" name="NOSE24">
    <vt:lpwstr/>
  </property>
  <property fmtid="{D5CDD505-2E9C-101B-9397-08002B2CF9AE}" pid="45" name="NOSE34">
    <vt:lpwstr/>
  </property>
  <property fmtid="{D5CDD505-2E9C-101B-9397-08002B2CF9AE}" pid="46" name="LINKI1">
    <vt:lpwstr/>
  </property>
  <property fmtid="{D5CDD505-2E9C-101B-9397-08002B2CF9AE}" pid="47" name="LINKI2">
    <vt:lpwstr/>
  </property>
  <property fmtid="{D5CDD505-2E9C-101B-9397-08002B2CF9AE}" pid="48" name="LINKI3">
    <vt:lpwstr/>
  </property>
  <property fmtid="{D5CDD505-2E9C-101B-9397-08002B2CF9AE}" pid="49" name="NOSE15">
    <vt:lpwstr/>
  </property>
  <property fmtid="{D5CDD505-2E9C-101B-9397-08002B2CF9AE}" pid="50" name="NOSE25">
    <vt:lpwstr/>
  </property>
  <property fmtid="{D5CDD505-2E9C-101B-9397-08002B2CF9AE}" pid="51" name="NOSE35">
    <vt:lpwstr/>
  </property>
  <property fmtid="{D5CDD505-2E9C-101B-9397-08002B2CF9AE}" pid="52" name="NOSE16">
    <vt:lpwstr/>
  </property>
  <property fmtid="{D5CDD505-2E9C-101B-9397-08002B2CF9AE}" pid="53" name="NOSE26">
    <vt:lpwstr/>
  </property>
  <property fmtid="{D5CDD505-2E9C-101B-9397-08002B2CF9AE}" pid="54" name="NOSE36">
    <vt:lpwstr/>
  </property>
  <property fmtid="{D5CDD505-2E9C-101B-9397-08002B2CF9AE}" pid="55" name="NOSE17">
    <vt:lpwstr/>
  </property>
  <property fmtid="{D5CDD505-2E9C-101B-9397-08002B2CF9AE}" pid="56" name="NOSE27">
    <vt:lpwstr/>
  </property>
  <property fmtid="{D5CDD505-2E9C-101B-9397-08002B2CF9AE}" pid="57" name="NOSE37">
    <vt:lpwstr/>
  </property>
  <property fmtid="{D5CDD505-2E9C-101B-9397-08002B2CF9AE}" pid="58" name="NOSE18">
    <vt:lpwstr/>
  </property>
  <property fmtid="{D5CDD505-2E9C-101B-9397-08002B2CF9AE}" pid="59" name="NOSE28">
    <vt:lpwstr/>
  </property>
  <property fmtid="{D5CDD505-2E9C-101B-9397-08002B2CF9AE}" pid="60" name="NOSE38">
    <vt:lpwstr/>
  </property>
  <property fmtid="{D5CDD505-2E9C-101B-9397-08002B2CF9AE}" pid="61" name="NOSE19">
    <vt:lpwstr/>
  </property>
  <property fmtid="{D5CDD505-2E9C-101B-9397-08002B2CF9AE}" pid="62" name="NOSE29">
    <vt:lpwstr/>
  </property>
  <property fmtid="{D5CDD505-2E9C-101B-9397-08002B2CF9AE}" pid="63" name="NOSE39">
    <vt:lpwstr/>
  </property>
  <property fmtid="{D5CDD505-2E9C-101B-9397-08002B2CF9AE}" pid="64" name="NOSE110">
    <vt:lpwstr/>
  </property>
  <property fmtid="{D5CDD505-2E9C-101B-9397-08002B2CF9AE}" pid="65" name="NOSE210">
    <vt:lpwstr/>
  </property>
  <property fmtid="{D5CDD505-2E9C-101B-9397-08002B2CF9AE}" pid="66" name="NOSE310">
    <vt:lpwstr/>
  </property>
  <property fmtid="{D5CDD505-2E9C-101B-9397-08002B2CF9AE}" pid="67" name="CASESLISTTMP1">
    <vt:lpwstr>5743140:4;5743141:3;5959419:2;6102864:2;5910850:2;5876175:2;5810781:2;5854755:2;5864416:2;704731</vt:lpwstr>
  </property>
  <property fmtid="{D5CDD505-2E9C-101B-9397-08002B2CF9AE}" pid="68" name="LAWLISTTMP1">
    <vt:lpwstr>71600/002.a:4;002.b.1:3;004:4;047.a.1:5;048:3;002.b.3:3;002.b.4:4;002</vt:lpwstr>
  </property>
  <property fmtid="{D5CDD505-2E9C-101B-9397-08002B2CF9AE}" pid="69" name="LAWLISTTMP2">
    <vt:lpwstr>74903/192a:2</vt:lpwstr>
  </property>
  <property fmtid="{D5CDD505-2E9C-101B-9397-08002B2CF9AE}" pid="70" name="TYPE_N_DATE">
    <vt:lpwstr>41020031110</vt:lpwstr>
  </property>
  <property fmtid="{D5CDD505-2E9C-101B-9397-08002B2CF9AE}" pid="71" name="TYPE_ABS_DATE">
    <vt:lpwstr>410120031110</vt:lpwstr>
  </property>
  <property fmtid="{D5CDD505-2E9C-101B-9397-08002B2CF9AE}" pid="72" name="PADITYPE">
    <vt:lpwstr>1</vt:lpwstr>
  </property>
</Properties>
</file>